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B873" w14:textId="77777777" w:rsidR="0008329F" w:rsidRDefault="00DF12A7">
      <w:pPr>
        <w:spacing w:line="460" w:lineRule="exact"/>
        <w:jc w:val="left"/>
        <w:rPr>
          <w:rFonts w:ascii="宋体" w:eastAsia="宋体" w:hAnsi="宋体" w:cs="宋体"/>
          <w:sz w:val="24"/>
          <w:szCs w:val="24"/>
          <w14:ligatures w14:val="standardContextual"/>
        </w:rPr>
      </w:pPr>
      <w:bookmarkStart w:id="0" w:name="_Toc6985"/>
      <w:r>
        <w:rPr>
          <w:rFonts w:ascii="宋体" w:eastAsia="宋体" w:hAnsi="宋体" w:cs="宋体" w:hint="eastAsia"/>
          <w:sz w:val="24"/>
          <w:szCs w:val="24"/>
          <w14:ligatures w14:val="standardContextual"/>
        </w:rPr>
        <w:t>附件2</w:t>
      </w:r>
      <w:bookmarkEnd w:id="0"/>
      <w:r>
        <w:rPr>
          <w:rFonts w:ascii="宋体" w:eastAsia="宋体" w:hAnsi="宋体" w:cs="宋体" w:hint="eastAsia"/>
          <w:sz w:val="24"/>
          <w:szCs w:val="24"/>
          <w14:ligatures w14:val="standardContextual"/>
        </w:rPr>
        <w:t>：</w:t>
      </w:r>
    </w:p>
    <w:p w14:paraId="687AD423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4B29440A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0924211B" w14:textId="4E2FD798" w:rsidR="0008329F" w:rsidRDefault="00DF12A7">
      <w:pPr>
        <w:jc w:val="center"/>
        <w:outlineLvl w:val="0"/>
        <w:rPr>
          <w:rFonts w:ascii="Times New Roman" w:eastAsia="仿宋_GB2312" w:hAnsi="Times New Roman" w:cs="Times New Roman"/>
          <w:b/>
          <w:sz w:val="44"/>
          <w:szCs w:val="44"/>
        </w:rPr>
      </w:pPr>
      <w:bookmarkStart w:id="1" w:name="_Toc24246"/>
      <w:r>
        <w:rPr>
          <w:rFonts w:ascii="Times New Roman" w:eastAsia="仿宋_GB2312" w:hAnsi="Times New Roman" w:cs="Times New Roman" w:hint="eastAsia"/>
          <w:b/>
          <w:sz w:val="44"/>
          <w:szCs w:val="44"/>
        </w:rPr>
        <w:t>电影行业标准</w:t>
      </w:r>
      <w:bookmarkEnd w:id="1"/>
    </w:p>
    <w:p w14:paraId="4A16CABF" w14:textId="77777777" w:rsidR="0008329F" w:rsidRDefault="00DF12A7" w:rsidP="00DF12A7">
      <w:pPr>
        <w:snapToGrid w:val="0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《</w:t>
      </w:r>
      <w:r>
        <w:rPr>
          <w:rFonts w:ascii="宋体" w:eastAsia="宋体" w:hAnsi="宋体" w:cs="宋体" w:hint="eastAsia"/>
          <w:bCs/>
          <w:sz w:val="44"/>
          <w:szCs w:val="44"/>
        </w:rPr>
        <w:t>电影公共服务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Cs/>
          <w:sz w:val="44"/>
          <w:szCs w:val="44"/>
        </w:rPr>
        <w:t>放映系统技术要求和测量方法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》</w:t>
      </w:r>
    </w:p>
    <w:p w14:paraId="676CD53B" w14:textId="77777777" w:rsidR="0008329F" w:rsidRDefault="00DF12A7">
      <w:pPr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  <w:r>
        <w:rPr>
          <w:rFonts w:ascii="Times New Roman" w:eastAsia="黑体" w:hAnsi="Times New Roman" w:cs="Times New Roman"/>
          <w:bCs/>
          <w:sz w:val="52"/>
          <w:szCs w:val="52"/>
        </w:rPr>
        <w:t>编制说明</w:t>
      </w:r>
    </w:p>
    <w:p w14:paraId="553D1C16" w14:textId="77777777" w:rsidR="0008329F" w:rsidRDefault="00DF12A7">
      <w:pPr>
        <w:jc w:val="center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□工作组讨论</w:t>
      </w:r>
      <w:r>
        <w:rPr>
          <w:rFonts w:ascii="Times New Roman" w:eastAsia="仿宋" w:hAnsi="Times New Roman" w:cs="Times New Roman"/>
          <w:bCs/>
          <w:sz w:val="32"/>
          <w:szCs w:val="32"/>
        </w:rPr>
        <w:t>稿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■</w:t>
      </w:r>
      <w:r>
        <w:rPr>
          <w:rFonts w:ascii="Times New Roman" w:eastAsia="仿宋" w:hAnsi="Times New Roman" w:cs="Times New Roman"/>
          <w:bCs/>
          <w:sz w:val="32"/>
          <w:szCs w:val="32"/>
        </w:rPr>
        <w:t>征求意见稿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□</w:t>
      </w:r>
      <w:r>
        <w:rPr>
          <w:rFonts w:ascii="Times New Roman" w:eastAsia="仿宋" w:hAnsi="Times New Roman" w:cs="Times New Roman"/>
          <w:bCs/>
          <w:sz w:val="32"/>
          <w:szCs w:val="32"/>
        </w:rPr>
        <w:t>送审稿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□</w:t>
      </w:r>
      <w:r>
        <w:rPr>
          <w:rFonts w:ascii="Times New Roman" w:eastAsia="仿宋" w:hAnsi="Times New Roman" w:cs="Times New Roman"/>
          <w:bCs/>
          <w:sz w:val="32"/>
          <w:szCs w:val="32"/>
        </w:rPr>
        <w:t>报批稿）</w:t>
      </w:r>
    </w:p>
    <w:p w14:paraId="246B6829" w14:textId="77777777" w:rsidR="0008329F" w:rsidRDefault="0008329F">
      <w:pPr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4787C383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3E645188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29989930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5E39848D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5F9F0550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729BC412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5CBDE9F6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7CC57348" w14:textId="77777777" w:rsidR="0008329F" w:rsidRDefault="0008329F">
      <w:pPr>
        <w:rPr>
          <w:rFonts w:ascii="Times New Roman" w:eastAsia="仿宋_GB2312" w:hAnsi="Times New Roman" w:cs="Times New Roman"/>
          <w:b/>
          <w:sz w:val="44"/>
          <w:szCs w:val="44"/>
        </w:rPr>
      </w:pPr>
    </w:p>
    <w:p w14:paraId="3DE48718" w14:textId="77777777" w:rsidR="0008329F" w:rsidRDefault="00DF12A7">
      <w:pPr>
        <w:jc w:val="center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标准编制组</w:t>
      </w:r>
    </w:p>
    <w:p w14:paraId="1E2FE9EF" w14:textId="77777777" w:rsidR="0008329F" w:rsidRDefault="00DF12A7">
      <w:pPr>
        <w:jc w:val="center"/>
        <w:rPr>
          <w:rFonts w:ascii="Times New Roman" w:eastAsia="宋体" w:hAnsi="Times New Roman" w:cs="Times New Roman"/>
          <w:bCs/>
          <w:sz w:val="32"/>
          <w:szCs w:val="32"/>
        </w:rPr>
        <w:sectPr w:rsidR="0008329F">
          <w:footerReference w:type="default" r:id="rId8"/>
          <w:pgSz w:w="11906" w:h="16838"/>
          <w:pgMar w:top="1701" w:right="1588" w:bottom="1701" w:left="1588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bCs/>
          <w:sz w:val="32"/>
          <w:szCs w:val="32"/>
        </w:rPr>
        <w:t>2025</w:t>
      </w:r>
      <w:r>
        <w:rPr>
          <w:rFonts w:ascii="Times New Roman" w:eastAsia="宋体" w:hAnsi="Times New Roman" w:cs="Times New Roman"/>
          <w:bCs/>
          <w:sz w:val="32"/>
          <w:szCs w:val="32"/>
        </w:rPr>
        <w:t>年</w:t>
      </w:r>
      <w:r>
        <w:rPr>
          <w:rFonts w:ascii="Times New Roman" w:eastAsia="宋体" w:hAnsi="Times New Roman" w:cs="Times New Roman"/>
          <w:bCs/>
          <w:sz w:val="32"/>
          <w:szCs w:val="32"/>
        </w:rPr>
        <w:t>1</w:t>
      </w:r>
      <w:r>
        <w:rPr>
          <w:rFonts w:ascii="Times New Roman" w:eastAsia="宋体" w:hAnsi="Times New Roman" w:cs="Times New Roman"/>
          <w:bCs/>
          <w:sz w:val="32"/>
          <w:szCs w:val="32"/>
        </w:rPr>
        <w:t>月</w:t>
      </w:r>
      <w:r>
        <w:rPr>
          <w:rFonts w:ascii="Times New Roman" w:eastAsia="宋体" w:hAnsi="Times New Roman" w:cs="Times New Roman"/>
          <w:bCs/>
          <w:sz w:val="32"/>
          <w:szCs w:val="32"/>
        </w:rPr>
        <w:t>24</w:t>
      </w:r>
      <w:r>
        <w:rPr>
          <w:rFonts w:ascii="Times New Roman" w:eastAsia="宋体" w:hAnsi="Times New Roman" w:cs="Times New Roman"/>
          <w:bCs/>
          <w:sz w:val="32"/>
          <w:szCs w:val="32"/>
        </w:rPr>
        <w:t>日</w:t>
      </w:r>
    </w:p>
    <w:sdt>
      <w:sdtPr>
        <w:rPr>
          <w:rFonts w:ascii="宋体" w:eastAsia="宋体" w:hAnsi="宋体"/>
          <w:b/>
          <w:bCs/>
          <w:sz w:val="28"/>
          <w:szCs w:val="28"/>
        </w:rPr>
        <w:id w:val="147482698"/>
        <w15:color w:val="DBDBDB"/>
        <w:docPartObj>
          <w:docPartGallery w:val="Table of Contents"/>
          <w:docPartUnique/>
        </w:docPartObj>
      </w:sdtPr>
      <w:sdtEndPr/>
      <w:sdtContent>
        <w:p w14:paraId="6996AED4" w14:textId="77777777" w:rsidR="0008329F" w:rsidRDefault="00DF12A7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rFonts w:ascii="宋体" w:eastAsia="宋体" w:hAnsi="宋体"/>
              <w:b/>
              <w:bCs/>
              <w:sz w:val="28"/>
              <w:szCs w:val="28"/>
            </w:rPr>
            <w:t>目录</w:t>
          </w:r>
        </w:p>
        <w:p w14:paraId="54BDDA67" w14:textId="77777777" w:rsidR="0008329F" w:rsidRDefault="00DF12A7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TOC \o "1-2" \h \u </w:instrText>
          </w:r>
          <w:r>
            <w:rPr>
              <w:sz w:val="21"/>
              <w:szCs w:val="21"/>
            </w:rPr>
            <w:fldChar w:fldCharType="separate"/>
          </w:r>
          <w:hyperlink w:anchor="_Toc11655" w:history="1">
            <w:r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一、</w:t>
            </w:r>
            <w:r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工作简况</w:t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fldChar w:fldCharType="begin"/>
            </w:r>
            <w:r>
              <w:rPr>
                <w:b/>
                <w:sz w:val="21"/>
                <w:szCs w:val="21"/>
              </w:rPr>
              <w:instrText xml:space="preserve"> PAGEREF _Toc11655 \h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t>- 2 -</w:t>
            </w:r>
            <w:r>
              <w:rPr>
                <w:b/>
                <w:sz w:val="21"/>
                <w:szCs w:val="21"/>
              </w:rPr>
              <w:fldChar w:fldCharType="end"/>
            </w:r>
          </w:hyperlink>
        </w:p>
        <w:p w14:paraId="127074AB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32424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（一）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任务来源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_Toc32424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- 2 -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7F387007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5243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（二）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制定背景、目的及意义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_Toc5243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- 2 -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332EA751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1292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（三）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主要起草单位、参与单位及其分工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_Toc1292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- 2 -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1FD5A21F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29741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（四）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主要起草人及其分工工作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_Toc29741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- 2 -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61B954FA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8058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（五）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主要工作过程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_Toc8058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- 2 -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1DFDF33C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16881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二、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标准编制原则、主要技术内容及其确定依据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_Toc16881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- 2 -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3268F44D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548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（一）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标准编制原则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_Toc548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- 2 -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7F710DF4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19638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（二）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主要技术内容及其确定依据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_Toc19638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- 2 -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2F313DA2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1461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三、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主要调研、试验验证分析和技术经济论证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_Toc1461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- 3 -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0F162A39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8710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（一）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调研分析报告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_Toc8710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- 3 -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605E934A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725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（二）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试验验证分析报告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_Toc725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- 3 -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27455BC5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23569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（三）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技术经济论证报告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_Toc23569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- 3 -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2ADE5EE6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18067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四、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国内外相关技术及标准发展现状及对比分析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_Toc18067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- 3 -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2FEB583A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10457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五、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采用国际标准或国外先进标准情况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_Toc10457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- 3 -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72A46529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20305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六、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与有关法律、行政法规及相关标准的关系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_Toc20305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- 3 -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27C9C9A9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7167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七、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重大分歧意见的处理经过和依据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_Toc7167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- 3 -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034A244D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15848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八、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知识产权有关说明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_Toc15848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- 3 -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4E5F5186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10178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（一）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涉及专利的有关说明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_Toc10178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- 3 -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39C75A53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1313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（二）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其他知识产权说明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_Toc1313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- 4 -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2FE0E810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16175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九、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标准宣贯实施建议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_Toc16175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- 4 -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62337358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29107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（一）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组织措施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_Toc29107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- 4 -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6ADCE663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29330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（二）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技术措施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_Toc29330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- 4 -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377F41A0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14176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（三）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过渡期及办法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_Toc14176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- 4 -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28057310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8358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（四）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实施日期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_Toc8358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- 4 -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741C01C7" w14:textId="77777777" w:rsidR="0008329F" w:rsidRDefault="002E4101">
          <w:pPr>
            <w:pStyle w:val="WPSOffice2"/>
            <w:tabs>
              <w:tab w:val="right" w:leader="dot" w:pos="8844"/>
            </w:tabs>
            <w:ind w:left="420"/>
            <w:rPr>
              <w:sz w:val="21"/>
              <w:szCs w:val="21"/>
            </w:rPr>
          </w:pPr>
          <w:hyperlink w:anchor="_Toc21491" w:history="1"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（五）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废止现行有关标准的建议</w:t>
            </w:r>
            <w:r w:rsidR="00DF12A7">
              <w:rPr>
                <w:sz w:val="21"/>
                <w:szCs w:val="21"/>
              </w:rPr>
              <w:tab/>
            </w:r>
            <w:r w:rsidR="00DF12A7">
              <w:rPr>
                <w:sz w:val="21"/>
                <w:szCs w:val="21"/>
              </w:rPr>
              <w:fldChar w:fldCharType="begin"/>
            </w:r>
            <w:r w:rsidR="00DF12A7">
              <w:rPr>
                <w:sz w:val="21"/>
                <w:szCs w:val="21"/>
              </w:rPr>
              <w:instrText xml:space="preserve"> PAGEREF _Toc21491 \h </w:instrText>
            </w:r>
            <w:r w:rsidR="00DF12A7">
              <w:rPr>
                <w:sz w:val="21"/>
                <w:szCs w:val="21"/>
              </w:rPr>
            </w:r>
            <w:r w:rsidR="00DF12A7">
              <w:rPr>
                <w:sz w:val="21"/>
                <w:szCs w:val="21"/>
              </w:rPr>
              <w:fldChar w:fldCharType="separate"/>
            </w:r>
            <w:r w:rsidR="00DF12A7">
              <w:rPr>
                <w:sz w:val="21"/>
                <w:szCs w:val="21"/>
              </w:rPr>
              <w:t>- 4 -</w:t>
            </w:r>
            <w:r w:rsidR="00DF12A7">
              <w:rPr>
                <w:sz w:val="21"/>
                <w:szCs w:val="21"/>
              </w:rPr>
              <w:fldChar w:fldCharType="end"/>
            </w:r>
          </w:hyperlink>
        </w:p>
        <w:p w14:paraId="717D2EBE" w14:textId="77777777" w:rsidR="0008329F" w:rsidRDefault="002E4101">
          <w:pPr>
            <w:pStyle w:val="WPSOffice1"/>
            <w:tabs>
              <w:tab w:val="right" w:leader="dot" w:pos="8844"/>
            </w:tabs>
            <w:rPr>
              <w:b/>
              <w:sz w:val="21"/>
              <w:szCs w:val="21"/>
            </w:rPr>
          </w:pPr>
          <w:hyperlink w:anchor="_Toc27164" w:history="1"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十、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="00DF12A7">
              <w:rPr>
                <w:rFonts w:ascii="Times New Roman" w:eastAsia="黑体" w:hAnsi="Times New Roman" w:cs="Times New Roman" w:hint="eastAsia"/>
                <w:b/>
                <w:bCs/>
                <w:sz w:val="21"/>
                <w:szCs w:val="21"/>
              </w:rPr>
              <w:t>其他应当说明的事项</w:t>
            </w:r>
            <w:r w:rsidR="00DF12A7">
              <w:rPr>
                <w:b/>
                <w:sz w:val="21"/>
                <w:szCs w:val="21"/>
              </w:rPr>
              <w:tab/>
            </w:r>
            <w:r w:rsidR="00DF12A7">
              <w:rPr>
                <w:b/>
                <w:sz w:val="21"/>
                <w:szCs w:val="21"/>
              </w:rPr>
              <w:fldChar w:fldCharType="begin"/>
            </w:r>
            <w:r w:rsidR="00DF12A7">
              <w:rPr>
                <w:b/>
                <w:sz w:val="21"/>
                <w:szCs w:val="21"/>
              </w:rPr>
              <w:instrText xml:space="preserve"> PAGEREF _Toc27164 \h </w:instrText>
            </w:r>
            <w:r w:rsidR="00DF12A7">
              <w:rPr>
                <w:b/>
                <w:sz w:val="21"/>
                <w:szCs w:val="21"/>
              </w:rPr>
            </w:r>
            <w:r w:rsidR="00DF12A7">
              <w:rPr>
                <w:b/>
                <w:sz w:val="21"/>
                <w:szCs w:val="21"/>
              </w:rPr>
              <w:fldChar w:fldCharType="separate"/>
            </w:r>
            <w:r w:rsidR="00DF12A7">
              <w:rPr>
                <w:b/>
                <w:sz w:val="21"/>
                <w:szCs w:val="21"/>
              </w:rPr>
              <w:t>- 4 -</w:t>
            </w:r>
            <w:r w:rsidR="00DF12A7">
              <w:rPr>
                <w:b/>
                <w:sz w:val="21"/>
                <w:szCs w:val="21"/>
              </w:rPr>
              <w:fldChar w:fldCharType="end"/>
            </w:r>
          </w:hyperlink>
        </w:p>
        <w:p w14:paraId="793357A0" w14:textId="77777777" w:rsidR="0008329F" w:rsidRDefault="00DF12A7">
          <w:pPr>
            <w:rPr>
              <w:b/>
            </w:rPr>
          </w:pPr>
          <w:r>
            <w:rPr>
              <w:b/>
              <w:szCs w:val="21"/>
            </w:rPr>
            <w:fldChar w:fldCharType="end"/>
          </w:r>
        </w:p>
      </w:sdtContent>
    </w:sdt>
    <w:p w14:paraId="41B588D1" w14:textId="77777777" w:rsidR="0008329F" w:rsidRDefault="00DF12A7">
      <w:pP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br w:type="page"/>
      </w:r>
    </w:p>
    <w:p w14:paraId="6C4E7EC8" w14:textId="7C8F0659" w:rsidR="0008329F" w:rsidRDefault="00DF12A7">
      <w:pPr>
        <w:spacing w:line="50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bookmarkStart w:id="2" w:name="_Toc29892"/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lastRenderedPageBreak/>
        <w:t>电影行业标准</w:t>
      </w:r>
      <w:bookmarkEnd w:id="2"/>
    </w:p>
    <w:p w14:paraId="1A62BC17" w14:textId="77777777" w:rsidR="0008329F" w:rsidRDefault="00DF12A7">
      <w:pPr>
        <w:spacing w:line="640" w:lineRule="exact"/>
        <w:jc w:val="center"/>
        <w:rPr>
          <w:rFonts w:ascii="方正小标宋简体" w:eastAsia="方正小标宋简体" w:hAnsi="黑体" w:cs="Times New Roman"/>
          <w:color w:val="000000"/>
          <w:sz w:val="40"/>
          <w:szCs w:val="40"/>
        </w:rPr>
      </w:pPr>
      <w:r>
        <w:rPr>
          <w:rFonts w:ascii="方正小标宋简体" w:eastAsia="方正小标宋简体" w:hAnsi="黑体" w:cs="Times New Roman" w:hint="eastAsia"/>
          <w:color w:val="000000"/>
          <w:sz w:val="40"/>
          <w:szCs w:val="40"/>
        </w:rPr>
        <w:t>《</w:t>
      </w:r>
      <w:r>
        <w:rPr>
          <w:rFonts w:ascii="宋体" w:eastAsia="宋体" w:hAnsi="宋体" w:cs="宋体" w:hint="eastAsia"/>
          <w:color w:val="000000"/>
          <w:sz w:val="40"/>
          <w:szCs w:val="40"/>
        </w:rPr>
        <w:t>电影公共服务</w:t>
      </w:r>
      <w:r>
        <w:rPr>
          <w:rFonts w:ascii="方正小标宋简体" w:eastAsia="方正小标宋简体" w:hAnsi="黑体" w:cs="Times New Roman"/>
          <w:color w:val="000000"/>
          <w:sz w:val="40"/>
          <w:szCs w:val="40"/>
        </w:rPr>
        <w:t xml:space="preserve"> </w:t>
      </w:r>
      <w:r>
        <w:rPr>
          <w:rFonts w:ascii="宋体" w:eastAsia="宋体" w:hAnsi="宋体" w:cs="宋体" w:hint="eastAsia"/>
          <w:color w:val="000000"/>
          <w:sz w:val="40"/>
          <w:szCs w:val="40"/>
        </w:rPr>
        <w:t>放映系统技术要求和测量方法</w:t>
      </w:r>
      <w:r>
        <w:rPr>
          <w:rFonts w:ascii="方正小标宋简体" w:eastAsia="方正小标宋简体" w:hAnsi="黑体" w:cs="Times New Roman" w:hint="eastAsia"/>
          <w:color w:val="000000"/>
          <w:sz w:val="40"/>
          <w:szCs w:val="40"/>
        </w:rPr>
        <w:t>》</w:t>
      </w:r>
    </w:p>
    <w:p w14:paraId="58D67487" w14:textId="77777777" w:rsidR="0008329F" w:rsidRDefault="00DF12A7">
      <w:pPr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编制说明</w:t>
      </w:r>
    </w:p>
    <w:p w14:paraId="36414565" w14:textId="77777777" w:rsidR="0008329F" w:rsidRDefault="00DF12A7">
      <w:pPr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（□工作组讨论稿 ■征求意见稿 □送审稿 □报批稿）</w:t>
      </w:r>
    </w:p>
    <w:p w14:paraId="0110122E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3" w:name="_Toc11655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工作简况</w:t>
      </w:r>
      <w:bookmarkEnd w:id="3"/>
    </w:p>
    <w:p w14:paraId="6096240F" w14:textId="77777777" w:rsidR="0008329F" w:rsidRDefault="00DF12A7">
      <w:pPr>
        <w:numPr>
          <w:ilvl w:val="0"/>
          <w:numId w:val="3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4" w:name="_Toc32424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任务来源</w:t>
      </w:r>
      <w:bookmarkEnd w:id="4"/>
    </w:p>
    <w:p w14:paraId="7AF239E0" w14:textId="15F37FE4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本文件根据《中宣部电影局关于电影科研所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szCs w:val="21"/>
        </w:rPr>
        <w:t>关于报请审批</w:t>
      </w:r>
      <w:r>
        <w:rPr>
          <w:rFonts w:ascii="Times New Roman" w:eastAsia="宋体" w:hAnsi="Times New Roman" w:cs="Times New Roman"/>
          <w:szCs w:val="21"/>
        </w:rPr>
        <w:t>2024</w:t>
      </w:r>
      <w:r>
        <w:rPr>
          <w:rFonts w:ascii="Times New Roman" w:eastAsia="宋体" w:hAnsi="Times New Roman" w:cs="Times New Roman"/>
          <w:szCs w:val="21"/>
        </w:rPr>
        <w:t>年度电影行业标准项目建议的请示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szCs w:val="21"/>
        </w:rPr>
        <w:t>的复函》（中宣局室发函〔</w:t>
      </w:r>
      <w:r>
        <w:rPr>
          <w:rFonts w:ascii="Times New Roman" w:eastAsia="宋体" w:hAnsi="Times New Roman" w:cs="Times New Roman"/>
          <w:szCs w:val="21"/>
        </w:rPr>
        <w:t>2024</w:t>
      </w:r>
      <w:r>
        <w:rPr>
          <w:rFonts w:ascii="Times New Roman" w:eastAsia="宋体" w:hAnsi="Times New Roman" w:cs="Times New Roman"/>
          <w:szCs w:val="21"/>
        </w:rPr>
        <w:t>〕</w:t>
      </w:r>
      <w:r>
        <w:rPr>
          <w:rFonts w:ascii="Times New Roman" w:eastAsia="宋体" w:hAnsi="Times New Roman" w:cs="Times New Roman"/>
          <w:szCs w:val="21"/>
        </w:rPr>
        <w:t>160193</w:t>
      </w:r>
      <w:r>
        <w:rPr>
          <w:rFonts w:ascii="Times New Roman" w:eastAsia="宋体" w:hAnsi="Times New Roman" w:cs="Times New Roman"/>
          <w:szCs w:val="21"/>
        </w:rPr>
        <w:t>号）和电影行业标准制修订计划项目任务书《电影公共服务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放映技术要求和测量方法》（项目编号：</w:t>
      </w:r>
      <w:r>
        <w:rPr>
          <w:rFonts w:ascii="Times New Roman" w:eastAsia="宋体" w:hAnsi="Times New Roman" w:cs="Times New Roman"/>
          <w:szCs w:val="21"/>
        </w:rPr>
        <w:t>2024-3</w:t>
      </w:r>
      <w:r>
        <w:rPr>
          <w:rFonts w:ascii="Times New Roman" w:eastAsia="宋体" w:hAnsi="Times New Roman" w:cs="Times New Roman"/>
          <w:szCs w:val="21"/>
        </w:rPr>
        <w:t>），由中央宣传部电影数字节目管理中心负责编制。</w:t>
      </w:r>
    </w:p>
    <w:p w14:paraId="39A3374B" w14:textId="77777777" w:rsidR="0008329F" w:rsidRDefault="00DF12A7">
      <w:pPr>
        <w:numPr>
          <w:ilvl w:val="0"/>
          <w:numId w:val="3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5" w:name="_Toc5243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制定背景、目的及意义</w:t>
      </w:r>
      <w:bookmarkEnd w:id="5"/>
    </w:p>
    <w:p w14:paraId="770C7ADB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数字电影流动放映系统是支撑农村电影放映工程的基础技术平台，投入使用近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年，目前，全国运营的放映终端近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万台系统运行稳定，能够满足农村电影放映的基本要求。但是近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多年来，视音频技术和移动互联技术飞速发展，更好的视听效果和更具智能交互服务体系已逐渐成熟，</w:t>
      </w:r>
      <w:r>
        <w:rPr>
          <w:rFonts w:ascii="Times New Roman" w:eastAsia="宋体" w:hAnsi="Times New Roman" w:cs="Times New Roman"/>
          <w:szCs w:val="21"/>
        </w:rPr>
        <w:t>2011</w:t>
      </w:r>
      <w:r>
        <w:rPr>
          <w:rFonts w:ascii="Times New Roman" w:eastAsia="宋体" w:hAnsi="Times New Roman" w:cs="Times New Roman"/>
          <w:szCs w:val="21"/>
        </w:rPr>
        <w:t>年发布的《数字电影流动放映系统技术要求和测量方法》（</w:t>
      </w:r>
      <w:r>
        <w:rPr>
          <w:rFonts w:ascii="Times New Roman" w:eastAsia="宋体" w:hAnsi="Times New Roman" w:cs="Times New Roman"/>
          <w:szCs w:val="21"/>
        </w:rPr>
        <w:t>GY/T 251-2011</w:t>
      </w:r>
      <w:r>
        <w:rPr>
          <w:rFonts w:ascii="Times New Roman" w:eastAsia="宋体" w:hAnsi="Times New Roman" w:cs="Times New Roman"/>
          <w:szCs w:val="21"/>
        </w:rPr>
        <w:t>）《数字电影流动放映系统用投影机技术要求和测量方法》（</w:t>
      </w:r>
      <w:r>
        <w:rPr>
          <w:rFonts w:ascii="Times New Roman" w:eastAsia="宋体" w:hAnsi="Times New Roman" w:cs="Times New Roman"/>
          <w:szCs w:val="21"/>
        </w:rPr>
        <w:t>GY/T 250-2011</w:t>
      </w:r>
      <w:r>
        <w:rPr>
          <w:rFonts w:ascii="Times New Roman" w:eastAsia="宋体" w:hAnsi="Times New Roman" w:cs="Times New Roman"/>
          <w:szCs w:val="21"/>
        </w:rPr>
        <w:t>）标准面对新媒体技术的挑战已显陈旧，在以大数据、人工智能、</w:t>
      </w:r>
      <w:r>
        <w:rPr>
          <w:rFonts w:ascii="Times New Roman" w:eastAsia="宋体" w:hAnsi="Times New Roman" w:cs="Times New Roman"/>
          <w:szCs w:val="21"/>
        </w:rPr>
        <w:t>5G</w:t>
      </w:r>
      <w:r>
        <w:rPr>
          <w:rFonts w:ascii="Times New Roman" w:eastAsia="宋体" w:hAnsi="Times New Roman" w:cs="Times New Roman"/>
          <w:szCs w:val="21"/>
        </w:rPr>
        <w:t>等技术的驱动下，以</w:t>
      </w:r>
      <w:r>
        <w:rPr>
          <w:rFonts w:ascii="Times New Roman" w:eastAsia="宋体" w:hAnsi="Times New Roman" w:cs="Times New Roman"/>
          <w:szCs w:val="21"/>
        </w:rPr>
        <w:t>AVS2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HEVC</w:t>
      </w:r>
      <w:r>
        <w:rPr>
          <w:rFonts w:ascii="Times New Roman" w:eastAsia="宋体" w:hAnsi="Times New Roman" w:cs="Times New Roman"/>
          <w:szCs w:val="21"/>
        </w:rPr>
        <w:t>为代表的音视频压缩技术，激光显示技术，</w:t>
      </w:r>
      <w:r>
        <w:rPr>
          <w:rFonts w:ascii="Times New Roman" w:eastAsia="宋体" w:hAnsi="Times New Roman" w:cs="Times New Roman"/>
          <w:szCs w:val="21"/>
        </w:rPr>
        <w:t>LED</w:t>
      </w:r>
      <w:r>
        <w:rPr>
          <w:rFonts w:ascii="Times New Roman" w:eastAsia="宋体" w:hAnsi="Times New Roman" w:cs="Times New Roman"/>
          <w:szCs w:val="21"/>
        </w:rPr>
        <w:t>显示等技术展现出前所未有的活力。同时应用场景普及，点对点放映要求的提升，放映环境的全面提升让电影公共服务出现质的提升，实现精准服务已成为现实。本次放映系统技术完善和修订为电影公共服务从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站着看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坐着看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、从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室外看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室内看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、从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免费看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适度收费看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的三个转变赋能，本次标准修订重点提高视音频效果、发挥移动互联网运营效能、适配各类放映场所特点、支撑灵活的运营模式等方面，为实现国家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十四五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规划和电影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十四五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发展规划关于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推进农村放映优化升级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 w:hint="eastAsia"/>
          <w:szCs w:val="21"/>
        </w:rPr>
        <w:t>升级电影公共服务”任务要求奠定基础，以技术创新推动电影公益放映机制体制创新，特此制定本标准。</w:t>
      </w:r>
    </w:p>
    <w:p w14:paraId="458D07E5" w14:textId="77777777" w:rsidR="0008329F" w:rsidRDefault="00DF12A7">
      <w:pPr>
        <w:numPr>
          <w:ilvl w:val="0"/>
          <w:numId w:val="3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6" w:name="_Toc1292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主要起草单位、参与单位及其分工</w:t>
      </w:r>
      <w:bookmarkEnd w:id="6"/>
    </w:p>
    <w:p w14:paraId="25C0E3CF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负责起草单位：中宣部电影数字节目管理中心，组织标准编写，起草技术框架、技术要求、数据接口等内容。</w:t>
      </w:r>
    </w:p>
    <w:p w14:paraId="4E37670E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主要起草单位：中国电影科学技术研究所（中央宣传部电影技术质量检测所），负责起草技术框架、技术要求、测量方法、技术验证等工作。北京电影学院、中国传媒大学、中国电影股份有限公司、华夏电影发行有限责任公司等单位负责起草技术框架、技术要求等工作。北京中科智网科技有限公司、青岛海信激光显示股份有限公司等负责起草技术框架、技术要求、技术验证等工作。</w:t>
      </w:r>
    </w:p>
    <w:p w14:paraId="6EF3BD04" w14:textId="77777777" w:rsidR="0008329F" w:rsidRDefault="00DF12A7">
      <w:pPr>
        <w:numPr>
          <w:ilvl w:val="0"/>
          <w:numId w:val="3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7" w:name="_Toc29741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主要起草人及其分工工作</w:t>
      </w:r>
      <w:bookmarkEnd w:id="7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76"/>
        <w:gridCol w:w="946"/>
        <w:gridCol w:w="2947"/>
        <w:gridCol w:w="1177"/>
        <w:gridCol w:w="1159"/>
        <w:gridCol w:w="1142"/>
      </w:tblGrid>
      <w:tr w:rsidR="0008329F" w14:paraId="295767DA" w14:textId="77777777">
        <w:trPr>
          <w:cantSplit/>
          <w:tblHeader/>
        </w:trPr>
        <w:tc>
          <w:tcPr>
            <w:tcW w:w="1176" w:type="dxa"/>
            <w:vAlign w:val="center"/>
          </w:tcPr>
          <w:p w14:paraId="7872D43A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成员</w:t>
            </w:r>
          </w:p>
        </w:tc>
        <w:tc>
          <w:tcPr>
            <w:tcW w:w="946" w:type="dxa"/>
            <w:vAlign w:val="center"/>
          </w:tcPr>
          <w:p w14:paraId="38E4974D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947" w:type="dxa"/>
            <w:vAlign w:val="center"/>
          </w:tcPr>
          <w:p w14:paraId="348D2EA1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177" w:type="dxa"/>
            <w:vAlign w:val="center"/>
          </w:tcPr>
          <w:p w14:paraId="27429F2C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159" w:type="dxa"/>
            <w:vAlign w:val="center"/>
          </w:tcPr>
          <w:p w14:paraId="41E115CE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特长</w:t>
            </w:r>
          </w:p>
        </w:tc>
        <w:tc>
          <w:tcPr>
            <w:tcW w:w="1142" w:type="dxa"/>
            <w:vAlign w:val="center"/>
          </w:tcPr>
          <w:p w14:paraId="730E49DD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分工</w:t>
            </w:r>
          </w:p>
        </w:tc>
      </w:tr>
      <w:tr w:rsidR="0008329F" w14:paraId="5D150C42" w14:textId="77777777">
        <w:trPr>
          <w:cantSplit/>
          <w:tblHeader/>
        </w:trPr>
        <w:tc>
          <w:tcPr>
            <w:tcW w:w="1176" w:type="dxa"/>
            <w:vAlign w:val="center"/>
          </w:tcPr>
          <w:p w14:paraId="0EA8CFD5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项目负责人、标准专员、技术专员</w:t>
            </w:r>
          </w:p>
        </w:tc>
        <w:tc>
          <w:tcPr>
            <w:tcW w:w="946" w:type="dxa"/>
            <w:vAlign w:val="center"/>
          </w:tcPr>
          <w:p w14:paraId="7D39DB38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刘健南</w:t>
            </w:r>
            <w:proofErr w:type="gramEnd"/>
          </w:p>
        </w:tc>
        <w:tc>
          <w:tcPr>
            <w:tcW w:w="2947" w:type="dxa"/>
            <w:vAlign w:val="center"/>
          </w:tcPr>
          <w:p w14:paraId="2F9BE011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09EFB53C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正高级工程师</w:t>
            </w:r>
          </w:p>
        </w:tc>
        <w:tc>
          <w:tcPr>
            <w:tcW w:w="1159" w:type="dxa"/>
            <w:vAlign w:val="center"/>
          </w:tcPr>
          <w:p w14:paraId="4C087618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7BA75281" w14:textId="77777777" w:rsidR="0008329F" w:rsidRDefault="00DF12A7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组织标准编写，起草技术框架、技术要求、技术验证</w:t>
            </w:r>
          </w:p>
        </w:tc>
      </w:tr>
      <w:tr w:rsidR="00504003" w14:paraId="3F73FAC3" w14:textId="77777777">
        <w:trPr>
          <w:cantSplit/>
          <w:tblHeader/>
        </w:trPr>
        <w:tc>
          <w:tcPr>
            <w:tcW w:w="1176" w:type="dxa"/>
            <w:vMerge w:val="restart"/>
            <w:vAlign w:val="center"/>
          </w:tcPr>
          <w:p w14:paraId="303E40EB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其他主要起草人</w:t>
            </w:r>
          </w:p>
        </w:tc>
        <w:tc>
          <w:tcPr>
            <w:tcW w:w="946" w:type="dxa"/>
            <w:vAlign w:val="center"/>
          </w:tcPr>
          <w:p w14:paraId="1937E912" w14:textId="410C0CE6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李志永</w:t>
            </w:r>
          </w:p>
        </w:tc>
        <w:tc>
          <w:tcPr>
            <w:tcW w:w="2947" w:type="dxa"/>
            <w:vAlign w:val="center"/>
          </w:tcPr>
          <w:p w14:paraId="10F506F9" w14:textId="065797AB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2319311C" w14:textId="70564C59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研发维护部副主任</w:t>
            </w:r>
            <w:r>
              <w:rPr>
                <w:rFonts w:hint="eastAsia"/>
                <w:szCs w:val="21"/>
              </w:rPr>
              <w:t>/</w:t>
            </w:r>
            <w:r w:rsidR="004A09A5" w:rsidRPr="004A09A5">
              <w:rPr>
                <w:rFonts w:hint="eastAsia"/>
                <w:szCs w:val="21"/>
              </w:rPr>
              <w:t>教授级高工</w:t>
            </w:r>
          </w:p>
        </w:tc>
        <w:tc>
          <w:tcPr>
            <w:tcW w:w="1159" w:type="dxa"/>
            <w:vAlign w:val="center"/>
          </w:tcPr>
          <w:p w14:paraId="187DD0EC" w14:textId="77464DE1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2DC4A7BB" w14:textId="5F26ABC5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设备硬件技术要求、标准撰写</w:t>
            </w:r>
          </w:p>
        </w:tc>
      </w:tr>
      <w:tr w:rsidR="00504003" w14:paraId="02578719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0C4E79BE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39A1203A" w14:textId="6998884B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</w:t>
            </w:r>
          </w:p>
        </w:tc>
        <w:tc>
          <w:tcPr>
            <w:tcW w:w="2947" w:type="dxa"/>
            <w:vAlign w:val="center"/>
          </w:tcPr>
          <w:p w14:paraId="755E1F5E" w14:textId="1CF03E98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36E6523C" w14:textId="0DB036D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中心主任</w:t>
            </w:r>
            <w:r w:rsidR="004A09A5">
              <w:rPr>
                <w:rFonts w:hint="eastAsia"/>
                <w:szCs w:val="21"/>
              </w:rPr>
              <w:t>/</w:t>
            </w:r>
            <w:r w:rsidR="004A09A5" w:rsidRPr="004A09A5">
              <w:rPr>
                <w:rFonts w:hint="eastAsia"/>
                <w:szCs w:val="21"/>
              </w:rPr>
              <w:t>教授级高工</w:t>
            </w:r>
          </w:p>
        </w:tc>
        <w:tc>
          <w:tcPr>
            <w:tcW w:w="1159" w:type="dxa"/>
            <w:vAlign w:val="center"/>
          </w:tcPr>
          <w:p w14:paraId="3CED8FA7" w14:textId="146234C5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00ACDAEE" w14:textId="168F1E8B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项目指导</w:t>
            </w:r>
          </w:p>
        </w:tc>
      </w:tr>
      <w:tr w:rsidR="00504003" w14:paraId="20E6E9A2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0F0FBAE8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69821358" w14:textId="51A73EF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杨玉飞</w:t>
            </w:r>
          </w:p>
        </w:tc>
        <w:tc>
          <w:tcPr>
            <w:tcW w:w="2947" w:type="dxa"/>
            <w:vAlign w:val="center"/>
          </w:tcPr>
          <w:p w14:paraId="3E2D1898" w14:textId="18277C99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63156232" w14:textId="3DE3BE84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中心副主任</w:t>
            </w:r>
          </w:p>
        </w:tc>
        <w:tc>
          <w:tcPr>
            <w:tcW w:w="1159" w:type="dxa"/>
            <w:vAlign w:val="center"/>
          </w:tcPr>
          <w:p w14:paraId="46651658" w14:textId="6510ABFC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2F170350" w14:textId="4BA2E12D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项目指导</w:t>
            </w:r>
          </w:p>
        </w:tc>
      </w:tr>
      <w:tr w:rsidR="00504003" w14:paraId="525D9967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3148D7C9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5F67D34B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徐宏</w:t>
            </w:r>
          </w:p>
        </w:tc>
        <w:tc>
          <w:tcPr>
            <w:tcW w:w="2947" w:type="dxa"/>
            <w:vAlign w:val="center"/>
          </w:tcPr>
          <w:p w14:paraId="2D21D6E3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063D98DC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研发部主任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159" w:type="dxa"/>
            <w:vAlign w:val="center"/>
          </w:tcPr>
          <w:p w14:paraId="041DF3F6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0C24D526" w14:textId="77777777" w:rsidR="00504003" w:rsidRDefault="00504003" w:rsidP="00504003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4CF3FE01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50D3D0B2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68FA0E09" w14:textId="44349482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李聿为</w:t>
            </w:r>
          </w:p>
        </w:tc>
        <w:tc>
          <w:tcPr>
            <w:tcW w:w="2947" w:type="dxa"/>
            <w:vAlign w:val="center"/>
          </w:tcPr>
          <w:p w14:paraId="5BF95326" w14:textId="3032267B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06F7B785" w14:textId="0EFAFBB4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  <w:tc>
          <w:tcPr>
            <w:tcW w:w="1159" w:type="dxa"/>
            <w:vAlign w:val="center"/>
          </w:tcPr>
          <w:p w14:paraId="68480D34" w14:textId="4D96D2A6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42" w:type="dxa"/>
            <w:vAlign w:val="center"/>
          </w:tcPr>
          <w:p w14:paraId="2F2F8452" w14:textId="2E1C153B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APP</w:t>
            </w:r>
            <w:r>
              <w:rPr>
                <w:rFonts w:hint="eastAsia"/>
                <w:szCs w:val="21"/>
              </w:rPr>
              <w:t>相关技术、标准撰写</w:t>
            </w:r>
          </w:p>
        </w:tc>
      </w:tr>
      <w:tr w:rsidR="002E4101" w14:paraId="5DF1356F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08D21B3B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2F51A38A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董强国</w:t>
            </w:r>
          </w:p>
        </w:tc>
        <w:tc>
          <w:tcPr>
            <w:tcW w:w="2947" w:type="dxa"/>
            <w:vAlign w:val="center"/>
          </w:tcPr>
          <w:p w14:paraId="69FBB2AE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中国电影科学技术研究所</w:t>
            </w:r>
          </w:p>
          <w:p w14:paraId="7802BD56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中宣部电影技术质量检测所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77" w:type="dxa"/>
            <w:vAlign w:val="center"/>
          </w:tcPr>
          <w:p w14:paraId="1C267D50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159" w:type="dxa"/>
            <w:vAlign w:val="center"/>
          </w:tcPr>
          <w:p w14:paraId="0BA21D4A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654A4E56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0B949DC0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577B8DC0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099BBEF7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李娜</w:t>
            </w:r>
          </w:p>
        </w:tc>
        <w:tc>
          <w:tcPr>
            <w:tcW w:w="2947" w:type="dxa"/>
            <w:vAlign w:val="center"/>
          </w:tcPr>
          <w:p w14:paraId="36F9C2D4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中国电影科学技术研究所</w:t>
            </w:r>
          </w:p>
          <w:p w14:paraId="26B4023A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中宣部电影技术质量检测所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77" w:type="dxa"/>
            <w:vAlign w:val="center"/>
          </w:tcPr>
          <w:p w14:paraId="62C64249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159" w:type="dxa"/>
            <w:vAlign w:val="center"/>
          </w:tcPr>
          <w:p w14:paraId="6AE9D4D7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279732A5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4D8BF1D3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438C0CC8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5F748AEA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赵思行</w:t>
            </w:r>
          </w:p>
        </w:tc>
        <w:tc>
          <w:tcPr>
            <w:tcW w:w="2947" w:type="dxa"/>
            <w:vAlign w:val="center"/>
          </w:tcPr>
          <w:p w14:paraId="15022DBE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0FA199BC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159" w:type="dxa"/>
            <w:vAlign w:val="center"/>
          </w:tcPr>
          <w:p w14:paraId="45936E41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通信工程</w:t>
            </w:r>
          </w:p>
        </w:tc>
        <w:tc>
          <w:tcPr>
            <w:tcW w:w="1142" w:type="dxa"/>
            <w:vAlign w:val="center"/>
          </w:tcPr>
          <w:p w14:paraId="43F98CDA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沟通协调、标准撰写</w:t>
            </w:r>
          </w:p>
        </w:tc>
      </w:tr>
      <w:tr w:rsidR="002E4101" w14:paraId="6B12E283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38497D30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0CC91D3F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杨旭</w:t>
            </w:r>
          </w:p>
        </w:tc>
        <w:tc>
          <w:tcPr>
            <w:tcW w:w="2947" w:type="dxa"/>
            <w:vAlign w:val="center"/>
          </w:tcPr>
          <w:p w14:paraId="1A73BB74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64EB0224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  <w:tc>
          <w:tcPr>
            <w:tcW w:w="1159" w:type="dxa"/>
            <w:vAlign w:val="center"/>
          </w:tcPr>
          <w:p w14:paraId="26BE1757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42" w:type="dxa"/>
            <w:vAlign w:val="center"/>
          </w:tcPr>
          <w:p w14:paraId="65922C89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编码打包技术、标准撰写</w:t>
            </w:r>
          </w:p>
        </w:tc>
      </w:tr>
      <w:tr w:rsidR="002E4101" w14:paraId="5032DF9F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1E403906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4E88A35D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马荣彦</w:t>
            </w:r>
          </w:p>
        </w:tc>
        <w:tc>
          <w:tcPr>
            <w:tcW w:w="2947" w:type="dxa"/>
            <w:vAlign w:val="center"/>
          </w:tcPr>
          <w:p w14:paraId="6AF016A7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17A1E5C7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  <w:tc>
          <w:tcPr>
            <w:tcW w:w="1159" w:type="dxa"/>
            <w:vAlign w:val="center"/>
          </w:tcPr>
          <w:p w14:paraId="38F8C65B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42" w:type="dxa"/>
            <w:vAlign w:val="center"/>
          </w:tcPr>
          <w:p w14:paraId="3ADE5A57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播放控制技术、标准撰写</w:t>
            </w:r>
          </w:p>
        </w:tc>
      </w:tr>
      <w:tr w:rsidR="002E4101" w14:paraId="4A972107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035299F9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2C919ED1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2947" w:type="dxa"/>
            <w:vAlign w:val="center"/>
          </w:tcPr>
          <w:p w14:paraId="6986857A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中宣部电影数字节目管理中心</w:t>
            </w:r>
          </w:p>
        </w:tc>
        <w:tc>
          <w:tcPr>
            <w:tcW w:w="1177" w:type="dxa"/>
            <w:vAlign w:val="center"/>
          </w:tcPr>
          <w:p w14:paraId="68BB8A16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  <w:tc>
          <w:tcPr>
            <w:tcW w:w="1159" w:type="dxa"/>
            <w:vAlign w:val="center"/>
          </w:tcPr>
          <w:p w14:paraId="7DAD55FD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42" w:type="dxa"/>
            <w:vAlign w:val="center"/>
          </w:tcPr>
          <w:p w14:paraId="7DC8CF9B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标准测试</w:t>
            </w:r>
          </w:p>
        </w:tc>
      </w:tr>
      <w:tr w:rsidR="002E4101" w14:paraId="4D44AF5F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271B54CF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22DAF119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林卫国</w:t>
            </w:r>
          </w:p>
        </w:tc>
        <w:tc>
          <w:tcPr>
            <w:tcW w:w="2947" w:type="dxa"/>
            <w:vAlign w:val="center"/>
          </w:tcPr>
          <w:p w14:paraId="4460009B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177" w:type="dxa"/>
            <w:vAlign w:val="center"/>
          </w:tcPr>
          <w:p w14:paraId="320420D0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9" w:type="dxa"/>
            <w:vAlign w:val="center"/>
          </w:tcPr>
          <w:p w14:paraId="636B919E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网络空间安全</w:t>
            </w:r>
          </w:p>
          <w:p w14:paraId="30BE543C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数字版权管理技术</w:t>
            </w:r>
          </w:p>
        </w:tc>
        <w:tc>
          <w:tcPr>
            <w:tcW w:w="1142" w:type="dxa"/>
            <w:vAlign w:val="center"/>
          </w:tcPr>
          <w:p w14:paraId="10B2429D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681A147A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09C5317E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5F08BA0F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常乐</w:t>
            </w:r>
          </w:p>
        </w:tc>
        <w:tc>
          <w:tcPr>
            <w:tcW w:w="2947" w:type="dxa"/>
            <w:vAlign w:val="center"/>
          </w:tcPr>
          <w:p w14:paraId="6CD6B686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北京电影学院</w:t>
            </w:r>
          </w:p>
        </w:tc>
        <w:tc>
          <w:tcPr>
            <w:tcW w:w="1177" w:type="dxa"/>
            <w:vAlign w:val="center"/>
          </w:tcPr>
          <w:p w14:paraId="04253429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影视技术系副主任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副研究员</w:t>
            </w:r>
          </w:p>
        </w:tc>
        <w:tc>
          <w:tcPr>
            <w:tcW w:w="1159" w:type="dxa"/>
            <w:vAlign w:val="center"/>
          </w:tcPr>
          <w:p w14:paraId="224EB794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40E56276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0863C3AF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7377BC65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4B9079A4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赵中伟</w:t>
            </w:r>
          </w:p>
        </w:tc>
        <w:tc>
          <w:tcPr>
            <w:tcW w:w="2947" w:type="dxa"/>
            <w:vAlign w:val="center"/>
          </w:tcPr>
          <w:p w14:paraId="009762F2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中国电影股份有限公司</w:t>
            </w:r>
          </w:p>
        </w:tc>
        <w:tc>
          <w:tcPr>
            <w:tcW w:w="1177" w:type="dxa"/>
            <w:vAlign w:val="center"/>
          </w:tcPr>
          <w:p w14:paraId="4ABB93A3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技术总监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159" w:type="dxa"/>
            <w:vAlign w:val="center"/>
          </w:tcPr>
          <w:p w14:paraId="191BB720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574CFC93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42738F43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75224ED9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7656C4CC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黄晓宇</w:t>
            </w:r>
          </w:p>
        </w:tc>
        <w:tc>
          <w:tcPr>
            <w:tcW w:w="2947" w:type="dxa"/>
            <w:vAlign w:val="center"/>
          </w:tcPr>
          <w:p w14:paraId="79C8B719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华夏电影发行有限责任公司</w:t>
            </w:r>
          </w:p>
        </w:tc>
        <w:tc>
          <w:tcPr>
            <w:tcW w:w="1177" w:type="dxa"/>
            <w:vAlign w:val="center"/>
          </w:tcPr>
          <w:p w14:paraId="242536FD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网络信息部主管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工程师</w:t>
            </w:r>
          </w:p>
        </w:tc>
        <w:tc>
          <w:tcPr>
            <w:tcW w:w="1159" w:type="dxa"/>
            <w:vAlign w:val="center"/>
          </w:tcPr>
          <w:p w14:paraId="42BB59F5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2876E1E0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766B79F2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38A727C8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664BDE12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张东滨</w:t>
            </w:r>
          </w:p>
        </w:tc>
        <w:tc>
          <w:tcPr>
            <w:tcW w:w="2947" w:type="dxa"/>
            <w:vAlign w:val="center"/>
          </w:tcPr>
          <w:p w14:paraId="0793457D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北京中科智网科技有限公司</w:t>
            </w:r>
          </w:p>
        </w:tc>
        <w:tc>
          <w:tcPr>
            <w:tcW w:w="1177" w:type="dxa"/>
            <w:vAlign w:val="center"/>
          </w:tcPr>
          <w:p w14:paraId="37DD83EF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总经理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159" w:type="dxa"/>
            <w:vAlign w:val="center"/>
          </w:tcPr>
          <w:p w14:paraId="481B3227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数字电影技术</w:t>
            </w:r>
          </w:p>
        </w:tc>
        <w:tc>
          <w:tcPr>
            <w:tcW w:w="1142" w:type="dxa"/>
            <w:vAlign w:val="center"/>
          </w:tcPr>
          <w:p w14:paraId="565FE333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  <w:tr w:rsidR="002E4101" w14:paraId="0DD70930" w14:textId="77777777">
        <w:trPr>
          <w:cantSplit/>
          <w:tblHeader/>
        </w:trPr>
        <w:tc>
          <w:tcPr>
            <w:tcW w:w="1176" w:type="dxa"/>
            <w:vMerge/>
            <w:vAlign w:val="center"/>
          </w:tcPr>
          <w:p w14:paraId="4DE90514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14322B1C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吴超</w:t>
            </w:r>
            <w:proofErr w:type="gramEnd"/>
          </w:p>
        </w:tc>
        <w:tc>
          <w:tcPr>
            <w:tcW w:w="2947" w:type="dxa"/>
            <w:vAlign w:val="center"/>
          </w:tcPr>
          <w:p w14:paraId="63AC7DC1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青岛海信激光显示股份有限公司</w:t>
            </w:r>
          </w:p>
        </w:tc>
        <w:tc>
          <w:tcPr>
            <w:tcW w:w="1177" w:type="dxa"/>
            <w:vAlign w:val="center"/>
          </w:tcPr>
          <w:p w14:paraId="6B6131DF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研发中心副总经理</w:t>
            </w:r>
          </w:p>
        </w:tc>
        <w:tc>
          <w:tcPr>
            <w:tcW w:w="1159" w:type="dxa"/>
            <w:vAlign w:val="center"/>
          </w:tcPr>
          <w:p w14:paraId="0AC33346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显示技术</w:t>
            </w:r>
          </w:p>
        </w:tc>
        <w:tc>
          <w:tcPr>
            <w:tcW w:w="1142" w:type="dxa"/>
            <w:vAlign w:val="center"/>
          </w:tcPr>
          <w:p w14:paraId="7D92B042" w14:textId="77777777" w:rsidR="002E4101" w:rsidRDefault="002E4101" w:rsidP="002E4101">
            <w:pPr>
              <w:numPr>
                <w:ilvl w:val="255"/>
                <w:numId w:val="0"/>
              </w:num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标准撰写</w:t>
            </w:r>
          </w:p>
        </w:tc>
      </w:tr>
    </w:tbl>
    <w:p w14:paraId="0314827B" w14:textId="77777777" w:rsidR="0008329F" w:rsidRDefault="00DF12A7">
      <w:pPr>
        <w:numPr>
          <w:ilvl w:val="0"/>
          <w:numId w:val="3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8" w:name="_Toc8058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主要工作过程</w:t>
      </w:r>
      <w:bookmarkEnd w:id="8"/>
    </w:p>
    <w:p w14:paraId="44DE5019" w14:textId="77777777" w:rsidR="0008329F" w:rsidRDefault="00DF12A7">
      <w:pPr>
        <w:numPr>
          <w:ilvl w:val="0"/>
          <w:numId w:val="4"/>
        </w:numPr>
        <w:spacing w:line="380" w:lineRule="exact"/>
        <w:ind w:left="0" w:firstLine="215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预研和立项阶段（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月—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月）</w:t>
      </w:r>
    </w:p>
    <w:p w14:paraId="6BA6A781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szCs w:val="21"/>
        </w:rPr>
        <w:t>2024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月，召开</w:t>
      </w:r>
      <w:r>
        <w:rPr>
          <w:rFonts w:ascii="Times New Roman" w:eastAsia="宋体" w:hAnsi="Times New Roman" w:cs="Times New Roman"/>
          <w:szCs w:val="21"/>
        </w:rPr>
        <w:t>项目启动会</w:t>
      </w:r>
      <w:r>
        <w:rPr>
          <w:rFonts w:ascii="Times New Roman" w:eastAsia="宋体" w:hAnsi="Times New Roman" w:cs="Times New Roman" w:hint="eastAsia"/>
          <w:szCs w:val="21"/>
        </w:rPr>
        <w:t>，形成项目工作方案。</w:t>
      </w:r>
    </w:p>
    <w:p w14:paraId="1FB39764" w14:textId="77777777" w:rsidR="0008329F" w:rsidRDefault="00DF12A7">
      <w:pPr>
        <w:numPr>
          <w:ilvl w:val="0"/>
          <w:numId w:val="4"/>
        </w:numPr>
        <w:spacing w:line="380" w:lineRule="exact"/>
        <w:ind w:left="0" w:firstLine="215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起草阶段（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月—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月）</w:t>
      </w:r>
    </w:p>
    <w:p w14:paraId="558B6B82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2024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月，按照产学研用的指导思想成立了由各个环节相关专业人员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人组成的标准起草小组（以下简称“工作组”）。工作组此后共同完成了项目工作方案，包括职责分工和时间计划等。</w:t>
      </w:r>
    </w:p>
    <w:p w14:paraId="60A834D0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2024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月至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月，工作组查阅、研读相关文献，收集现行有效的法律法规、行业标准规范、技术要求等。主要针对电影公共服务放映系统急需升级改造的环节进行梳理，通过进一步细化收集资料以及集体讨论，基本完成标准草案制定。</w:t>
      </w:r>
    </w:p>
    <w:p w14:paraId="75FC76C6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2024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月，工作组内部讨论，对标准草案进行了完善，并补充了测量方法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最终</w:t>
      </w:r>
      <w:r>
        <w:rPr>
          <w:rFonts w:ascii="Times New Roman" w:eastAsia="宋体" w:hAnsi="Times New Roman" w:cs="Times New Roman"/>
          <w:szCs w:val="21"/>
        </w:rPr>
        <w:t>完成工作组讨论稿初稿。</w:t>
      </w:r>
    </w:p>
    <w:p w14:paraId="6C8215CE" w14:textId="77777777" w:rsidR="0008329F" w:rsidRDefault="00DF12A7">
      <w:pPr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2024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月至</w:t>
      </w:r>
      <w:r>
        <w:rPr>
          <w:rFonts w:ascii="Times New Roman" w:eastAsia="宋体" w:hAnsi="Times New Roman" w:cs="Times New Roman"/>
          <w:szCs w:val="21"/>
        </w:rPr>
        <w:t>2025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月，向电影标委会秘书处报送工作组讨论稿，并按秘书处形式审查反馈意见修订完善，形成征求意见稿。</w:t>
      </w:r>
    </w:p>
    <w:p w14:paraId="47C3ACAC" w14:textId="77777777" w:rsidR="0008329F" w:rsidRDefault="00DF12A7">
      <w:pPr>
        <w:numPr>
          <w:ilvl w:val="0"/>
          <w:numId w:val="4"/>
        </w:numPr>
        <w:spacing w:line="380" w:lineRule="exact"/>
        <w:ind w:left="0" w:firstLine="215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征求意见阶段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月—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月）</w:t>
      </w:r>
    </w:p>
    <w:p w14:paraId="38C4180E" w14:textId="77777777" w:rsidR="0008329F" w:rsidRDefault="00DF12A7">
      <w:pPr>
        <w:numPr>
          <w:ilvl w:val="255"/>
          <w:numId w:val="0"/>
        </w:numPr>
        <w:spacing w:line="38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【对于意见征求阶段工作的说明，应突出说清以下三个情况：一是标准征求意见稿发放范围、单</w:t>
      </w:r>
      <w:r>
        <w:rPr>
          <w:rFonts w:ascii="Times New Roman" w:eastAsia="宋体" w:hAnsi="Times New Roman" w:cs="Times New Roman" w:hint="eastAsia"/>
          <w:szCs w:val="21"/>
        </w:rPr>
        <w:lastRenderedPageBreak/>
        <w:t>位数量及其行业代表情况。二是意见汇总及分析处理情况。三是部分采纳和不采纳意见向意见提出单位的反馈情况。若意见不能达成一致的，主编单位应在编制说明中予以说明，提请标准审查会议定。】</w:t>
      </w:r>
    </w:p>
    <w:p w14:paraId="55DB9532" w14:textId="77777777" w:rsidR="0008329F" w:rsidRDefault="00DF12A7">
      <w:pPr>
        <w:numPr>
          <w:ilvl w:val="0"/>
          <w:numId w:val="4"/>
        </w:numPr>
        <w:spacing w:line="380" w:lineRule="exact"/>
        <w:ind w:left="0" w:firstLine="215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审查阶段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月—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月）</w:t>
      </w:r>
    </w:p>
    <w:p w14:paraId="63F77D46" w14:textId="77777777" w:rsidR="0008329F" w:rsidRDefault="00DF12A7">
      <w:pPr>
        <w:numPr>
          <w:ilvl w:val="0"/>
          <w:numId w:val="4"/>
        </w:numPr>
        <w:spacing w:line="380" w:lineRule="exact"/>
        <w:ind w:left="0" w:firstLine="215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报批阶段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月—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月）</w:t>
      </w:r>
    </w:p>
    <w:p w14:paraId="288DC5AA" w14:textId="77777777" w:rsidR="0008329F" w:rsidRDefault="00DF12A7">
      <w:pPr>
        <w:numPr>
          <w:ilvl w:val="0"/>
          <w:numId w:val="4"/>
        </w:numPr>
        <w:spacing w:line="380" w:lineRule="exact"/>
        <w:ind w:left="0" w:firstLine="215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发布阶段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月—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月）</w:t>
      </w:r>
    </w:p>
    <w:p w14:paraId="61E4DF6D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9" w:name="_Toc16881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标准编制原则、主要技术内容及其确定依据</w:t>
      </w:r>
      <w:bookmarkEnd w:id="9"/>
    </w:p>
    <w:p w14:paraId="245C3C2E" w14:textId="77777777" w:rsidR="0008329F" w:rsidRDefault="00DF12A7">
      <w:pPr>
        <w:numPr>
          <w:ilvl w:val="0"/>
          <w:numId w:val="5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0" w:name="_Toc548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标准编制原则</w:t>
      </w:r>
      <w:bookmarkEnd w:id="10"/>
    </w:p>
    <w:p w14:paraId="525ECAFF" w14:textId="77777777" w:rsidR="0008329F" w:rsidRDefault="00DF12A7">
      <w:pPr>
        <w:pStyle w:val="af"/>
        <w:numPr>
          <w:ilvl w:val="255"/>
          <w:numId w:val="0"/>
        </w:num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本标准在编制过程中，本着科学性、合理性和适用性的原则以及标准的一致性、协调性和易用性原则来进行本标准的制定工作。标准条款依据行业管理、组织运营、数据服务、实际操作的相关要求制定。</w:t>
      </w:r>
    </w:p>
    <w:p w14:paraId="017D738D" w14:textId="77777777" w:rsidR="0008329F" w:rsidRDefault="00DF12A7">
      <w:pPr>
        <w:numPr>
          <w:ilvl w:val="0"/>
          <w:numId w:val="5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1" w:name="_Toc19638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主要技术内容及其确定依据</w:t>
      </w:r>
      <w:bookmarkEnd w:id="11"/>
    </w:p>
    <w:p w14:paraId="1BC96B6D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更新</w:t>
      </w:r>
      <w:r>
        <w:rPr>
          <w:rFonts w:ascii="Times New Roman" w:eastAsia="宋体" w:hAnsi="Times New Roman" w:cs="Times New Roman"/>
          <w:szCs w:val="21"/>
        </w:rPr>
        <w:t>音视频技术，采用最新的</w:t>
      </w:r>
      <w:r>
        <w:rPr>
          <w:rFonts w:ascii="Times New Roman" w:eastAsia="宋体" w:hAnsi="Times New Roman" w:cs="Times New Roman"/>
          <w:szCs w:val="21"/>
        </w:rPr>
        <w:t>AVS2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HEVC</w:t>
      </w:r>
      <w:r>
        <w:rPr>
          <w:rFonts w:ascii="Times New Roman" w:eastAsia="宋体" w:hAnsi="Times New Roman" w:cs="Times New Roman"/>
          <w:szCs w:val="21"/>
        </w:rPr>
        <w:t>技术</w:t>
      </w:r>
      <w:r>
        <w:rPr>
          <w:rFonts w:ascii="Times New Roman" w:eastAsia="宋体" w:hAnsi="Times New Roman" w:cs="Times New Roman" w:hint="eastAsia"/>
          <w:szCs w:val="21"/>
        </w:rPr>
        <w:t>替代老旧的</w:t>
      </w:r>
      <w:r>
        <w:rPr>
          <w:rFonts w:ascii="Times New Roman" w:eastAsia="宋体" w:hAnsi="Times New Roman" w:cs="Times New Roman" w:hint="eastAsia"/>
          <w:szCs w:val="21"/>
        </w:rPr>
        <w:t>MP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编码</w:t>
      </w:r>
      <w:r>
        <w:rPr>
          <w:rFonts w:ascii="Times New Roman" w:eastAsia="宋体" w:hAnsi="Times New Roman" w:cs="Times New Roman"/>
          <w:szCs w:val="21"/>
        </w:rPr>
        <w:t>，利用高效音视频编码方法制作影片发行母版，在同等码率下较原有编码格式大大提高放映画面与声音质量。</w:t>
      </w:r>
      <w:r>
        <w:rPr>
          <w:rFonts w:ascii="Times New Roman" w:eastAsia="宋体" w:hAnsi="Times New Roman" w:cs="Times New Roman" w:hint="eastAsia"/>
          <w:szCs w:val="21"/>
        </w:rPr>
        <w:t>选择</w:t>
      </w:r>
      <w:r>
        <w:rPr>
          <w:rFonts w:ascii="Times New Roman" w:eastAsia="宋体" w:hAnsi="Times New Roman" w:cs="Times New Roman" w:hint="eastAsia"/>
          <w:szCs w:val="21"/>
        </w:rPr>
        <w:t>HEVC</w:t>
      </w:r>
      <w:r>
        <w:rPr>
          <w:rFonts w:ascii="Times New Roman" w:eastAsia="宋体" w:hAnsi="Times New Roman" w:cs="Times New Roman" w:hint="eastAsia"/>
          <w:szCs w:val="21"/>
        </w:rPr>
        <w:t>视频编码主要因素是目前市场上在售芯片基本都支持该编码，该编码的选择可有效降低了设备成本。同时为了响应国家对国产自主视频编码技术的支持，增加了</w:t>
      </w:r>
      <w:r>
        <w:rPr>
          <w:rFonts w:ascii="Times New Roman" w:eastAsia="宋体" w:hAnsi="Times New Roman" w:cs="Times New Roman" w:hint="eastAsia"/>
          <w:szCs w:val="21"/>
        </w:rPr>
        <w:t>AVS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编码的可选项，为未来全国产化预留了接口，待条件成熟后可平滑切换。</w:t>
      </w:r>
    </w:p>
    <w:p w14:paraId="192AE4DB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增加</w:t>
      </w:r>
      <w:r>
        <w:rPr>
          <w:rFonts w:ascii="Times New Roman" w:eastAsia="宋体" w:hAnsi="Times New Roman" w:cs="Times New Roman"/>
          <w:szCs w:val="21"/>
        </w:rPr>
        <w:t>移动互联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物联网技术</w:t>
      </w:r>
      <w:r>
        <w:rPr>
          <w:rFonts w:ascii="Times New Roman" w:eastAsia="宋体" w:hAnsi="Times New Roman" w:cs="Times New Roman" w:hint="eastAsia"/>
          <w:szCs w:val="21"/>
        </w:rPr>
        <w:t>支持</w:t>
      </w:r>
      <w:r>
        <w:rPr>
          <w:rFonts w:ascii="Times New Roman" w:eastAsia="宋体" w:hAnsi="Times New Roman" w:cs="Times New Roman"/>
          <w:szCs w:val="21"/>
        </w:rPr>
        <w:t>，利用物联网技术实现放映终端云播控，影片</w:t>
      </w:r>
      <w:proofErr w:type="gramStart"/>
      <w:r>
        <w:rPr>
          <w:rFonts w:ascii="Times New Roman" w:eastAsia="宋体" w:hAnsi="Times New Roman" w:cs="Times New Roman"/>
          <w:szCs w:val="21"/>
        </w:rPr>
        <w:t>发行版云传输</w:t>
      </w:r>
      <w:proofErr w:type="gramEnd"/>
      <w:r>
        <w:rPr>
          <w:rFonts w:ascii="Times New Roman" w:eastAsia="宋体" w:hAnsi="Times New Roman" w:cs="Times New Roman"/>
          <w:szCs w:val="21"/>
        </w:rPr>
        <w:t>，手机</w:t>
      </w:r>
      <w:r>
        <w:rPr>
          <w:rFonts w:ascii="Times New Roman" w:eastAsia="宋体" w:hAnsi="Times New Roman" w:cs="Times New Roman"/>
          <w:szCs w:val="21"/>
        </w:rPr>
        <w:t>app</w:t>
      </w:r>
      <w:r>
        <w:rPr>
          <w:rFonts w:ascii="Times New Roman" w:eastAsia="宋体" w:hAnsi="Times New Roman" w:cs="Times New Roman"/>
          <w:szCs w:val="21"/>
        </w:rPr>
        <w:t>订购与实时授权提高放映员的工作效率；通过</w:t>
      </w:r>
      <w:r>
        <w:rPr>
          <w:rFonts w:ascii="Times New Roman" w:eastAsia="宋体" w:hAnsi="Times New Roman" w:cs="Times New Roman"/>
          <w:szCs w:val="21"/>
        </w:rPr>
        <w:t>4g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5g</w:t>
      </w:r>
      <w:r>
        <w:rPr>
          <w:rFonts w:ascii="Times New Roman" w:eastAsia="宋体" w:hAnsi="Times New Roman" w:cs="Times New Roman"/>
          <w:szCs w:val="21"/>
        </w:rPr>
        <w:t>全网通信、北斗定位、有线无线网络模块，实时定位，实时回传。</w:t>
      </w:r>
      <w:r>
        <w:rPr>
          <w:rFonts w:ascii="Times New Roman" w:eastAsia="宋体" w:hAnsi="Times New Roman" w:cs="Times New Roman" w:hint="eastAsia"/>
          <w:szCs w:val="21"/>
        </w:rPr>
        <w:t>为了提高影片到终端的效率，通过互联网取代之前的快递物流方式递送影片内容，将几天的传递时间大幅缩短至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分钟完成。并且通过国内成熟的</w:t>
      </w:r>
      <w:r>
        <w:rPr>
          <w:rFonts w:ascii="Times New Roman" w:eastAsia="宋体" w:hAnsi="Times New Roman" w:cs="Times New Roman"/>
          <w:szCs w:val="21"/>
        </w:rPr>
        <w:t>4g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5g</w:t>
      </w:r>
      <w:r>
        <w:rPr>
          <w:rFonts w:ascii="Times New Roman" w:eastAsia="宋体" w:hAnsi="Times New Roman" w:cs="Times New Roman"/>
          <w:szCs w:val="21"/>
        </w:rPr>
        <w:t>全网通信</w:t>
      </w:r>
      <w:r>
        <w:rPr>
          <w:rFonts w:ascii="Times New Roman" w:eastAsia="宋体" w:hAnsi="Times New Roman" w:cs="Times New Roman" w:hint="eastAsia"/>
          <w:szCs w:val="21"/>
        </w:rPr>
        <w:t>可实现实时管理功能，从而提高放映员工作效率。同时按照国家相关要求，设备定位从</w:t>
      </w:r>
      <w:r>
        <w:rPr>
          <w:rFonts w:ascii="Times New Roman" w:eastAsia="宋体" w:hAnsi="Times New Roman" w:cs="Times New Roman" w:hint="eastAsia"/>
          <w:szCs w:val="21"/>
        </w:rPr>
        <w:t>GPS</w:t>
      </w:r>
      <w:r>
        <w:rPr>
          <w:rFonts w:ascii="Times New Roman" w:eastAsia="宋体" w:hAnsi="Times New Roman" w:cs="Times New Roman" w:hint="eastAsia"/>
          <w:szCs w:val="21"/>
        </w:rPr>
        <w:t>定位系统变更为北斗定位系统。</w:t>
      </w:r>
    </w:p>
    <w:p w14:paraId="5708A6D1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更新</w:t>
      </w:r>
      <w:r>
        <w:rPr>
          <w:rFonts w:ascii="Times New Roman" w:eastAsia="宋体" w:hAnsi="Times New Roman" w:cs="Times New Roman"/>
          <w:szCs w:val="21"/>
        </w:rPr>
        <w:t>数字版权保护</w:t>
      </w:r>
      <w:r>
        <w:rPr>
          <w:rFonts w:ascii="Times New Roman" w:eastAsia="宋体" w:hAnsi="Times New Roman" w:cs="Times New Roman" w:hint="eastAsia"/>
          <w:szCs w:val="21"/>
        </w:rPr>
        <w:t>技术：</w:t>
      </w:r>
    </w:p>
    <w:p w14:paraId="43500778" w14:textId="77777777" w:rsidR="0008329F" w:rsidRDefault="00DF12A7">
      <w:pPr>
        <w:pStyle w:val="af"/>
        <w:numPr>
          <w:ilvl w:val="0"/>
          <w:numId w:val="6"/>
        </w:numPr>
        <w:spacing w:line="3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 w:hint="eastAsia"/>
          <w:szCs w:val="21"/>
        </w:rPr>
        <w:t>中以</w:t>
      </w:r>
      <w:r>
        <w:rPr>
          <w:rFonts w:ascii="Times New Roman" w:eastAsia="宋体" w:hAnsi="Times New Roman" w:cs="Times New Roman" w:hint="eastAsia"/>
          <w:szCs w:val="21"/>
        </w:rPr>
        <w:t>3DES</w:t>
      </w:r>
      <w:r>
        <w:rPr>
          <w:rFonts w:ascii="Times New Roman" w:eastAsia="宋体" w:hAnsi="Times New Roman" w:cs="Times New Roman" w:hint="eastAsia"/>
          <w:szCs w:val="21"/>
        </w:rPr>
        <w:t>加密算法、视频关键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帧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加密、</w:t>
      </w:r>
      <w:r>
        <w:rPr>
          <w:rFonts w:ascii="Times New Roman" w:eastAsia="宋体" w:hAnsi="Times New Roman" w:cs="Times New Roman" w:hint="eastAsia"/>
          <w:szCs w:val="21"/>
        </w:rPr>
        <w:t>IC</w:t>
      </w:r>
      <w:r>
        <w:rPr>
          <w:rFonts w:ascii="Times New Roman" w:eastAsia="宋体" w:hAnsi="Times New Roman" w:cs="Times New Roman" w:hint="eastAsia"/>
          <w:szCs w:val="21"/>
        </w:rPr>
        <w:t>卡等技术构建的安全体系以无法满足要求。新标准将</w:t>
      </w:r>
      <w:r>
        <w:rPr>
          <w:rFonts w:ascii="Times New Roman" w:eastAsia="宋体" w:hAnsi="Times New Roman" w:cs="Times New Roman"/>
          <w:szCs w:val="21"/>
        </w:rPr>
        <w:t>以安全的数字版权保护为中心，建立自主知识产权的打包加密体系，以国密标准为核心加密算法。</w:t>
      </w:r>
      <w:r>
        <w:rPr>
          <w:rFonts w:ascii="Times New Roman" w:eastAsia="宋体" w:hAnsi="Times New Roman" w:cs="Times New Roman" w:hint="eastAsia"/>
          <w:szCs w:val="21"/>
        </w:rPr>
        <w:t>整体采用了</w:t>
      </w:r>
      <w:r>
        <w:rPr>
          <w:rFonts w:ascii="Times New Roman" w:eastAsia="宋体" w:hAnsi="Times New Roman" w:cs="Times New Roman" w:hint="eastAsia"/>
          <w:szCs w:val="21"/>
        </w:rPr>
        <w:t>DCI</w:t>
      </w:r>
      <w:r>
        <w:rPr>
          <w:rFonts w:ascii="Times New Roman" w:eastAsia="宋体" w:hAnsi="Times New Roman" w:cs="Times New Roman" w:hint="eastAsia"/>
          <w:szCs w:val="21"/>
        </w:rPr>
        <w:t>打包加密授权体系，保证</w:t>
      </w:r>
      <w:r>
        <w:rPr>
          <w:rFonts w:ascii="Times New Roman" w:eastAsia="宋体" w:hAnsi="Times New Roman" w:cs="Times New Roman"/>
          <w:szCs w:val="21"/>
        </w:rPr>
        <w:t>电影公共服务</w:t>
      </w:r>
      <w:r>
        <w:rPr>
          <w:rFonts w:ascii="Times New Roman" w:eastAsia="宋体" w:hAnsi="Times New Roman" w:cs="Times New Roman" w:hint="eastAsia"/>
          <w:szCs w:val="21"/>
        </w:rPr>
        <w:t>与城市影院具备相同的安全级别，并在其基础之上将加密算法更换为国密算法以符合国家安全要求。</w:t>
      </w:r>
    </w:p>
    <w:p w14:paraId="1D9A5823" w14:textId="77777777" w:rsidR="0008329F" w:rsidRDefault="00DF12A7">
      <w:pPr>
        <w:pStyle w:val="af"/>
        <w:numPr>
          <w:ilvl w:val="0"/>
          <w:numId w:val="6"/>
        </w:numPr>
        <w:spacing w:line="3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增加</w:t>
      </w:r>
      <w:r>
        <w:rPr>
          <w:rFonts w:ascii="Times New Roman" w:eastAsia="宋体" w:hAnsi="Times New Roman" w:cs="Times New Roman"/>
          <w:szCs w:val="21"/>
        </w:rPr>
        <w:t>视音频水印技术</w:t>
      </w:r>
      <w:r>
        <w:rPr>
          <w:rFonts w:ascii="Times New Roman" w:eastAsia="宋体" w:hAnsi="Times New Roman" w:cs="Times New Roman" w:hint="eastAsia"/>
          <w:szCs w:val="21"/>
        </w:rPr>
        <w:t>支持，以</w:t>
      </w:r>
      <w:proofErr w:type="gramStart"/>
      <w:r>
        <w:rPr>
          <w:rFonts w:ascii="Times New Roman" w:eastAsia="宋体" w:hAnsi="Times New Roman" w:cs="Times New Roman"/>
          <w:szCs w:val="21"/>
        </w:rPr>
        <w:t>提供盗拍追踪</w:t>
      </w:r>
      <w:proofErr w:type="gramEnd"/>
      <w:r>
        <w:rPr>
          <w:rFonts w:ascii="Times New Roman" w:eastAsia="宋体" w:hAnsi="Times New Roman" w:cs="Times New Roman"/>
          <w:szCs w:val="21"/>
        </w:rPr>
        <w:t>能力。</w:t>
      </w:r>
    </w:p>
    <w:p w14:paraId="4534017E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增加对新的</w:t>
      </w:r>
      <w:r>
        <w:rPr>
          <w:rFonts w:ascii="Times New Roman" w:eastAsia="宋体" w:hAnsi="Times New Roman" w:cs="Times New Roman"/>
          <w:szCs w:val="21"/>
        </w:rPr>
        <w:t>显示技术</w:t>
      </w:r>
      <w:r>
        <w:rPr>
          <w:rFonts w:ascii="Times New Roman" w:eastAsia="宋体" w:hAnsi="Times New Roman" w:cs="Times New Roman" w:hint="eastAsia"/>
          <w:szCs w:val="21"/>
        </w:rPr>
        <w:t>支持：</w:t>
      </w:r>
      <w:r>
        <w:rPr>
          <w:rFonts w:ascii="Times New Roman" w:eastAsia="宋体" w:hAnsi="Times New Roman" w:cs="Times New Roman"/>
          <w:szCs w:val="21"/>
        </w:rPr>
        <w:t>随着这些年显示技术的快速发展，原有技术指标已经严重落后与市场需求。</w:t>
      </w:r>
      <w:r>
        <w:rPr>
          <w:rFonts w:ascii="Times New Roman" w:eastAsia="宋体" w:hAnsi="Times New Roman" w:cs="Times New Roman" w:hint="eastAsia"/>
          <w:szCs w:val="21"/>
        </w:rPr>
        <w:t>本标准</w:t>
      </w:r>
      <w:r>
        <w:rPr>
          <w:rFonts w:ascii="Times New Roman" w:eastAsia="宋体" w:hAnsi="Times New Roman" w:cs="Times New Roman"/>
          <w:szCs w:val="21"/>
        </w:rPr>
        <w:t>将提高投影设备的技术要求，增加激光光源的应用。规范与统一</w:t>
      </w:r>
      <w:r>
        <w:rPr>
          <w:rFonts w:ascii="Times New Roman" w:eastAsia="宋体" w:hAnsi="Times New Roman" w:cs="Times New Roman"/>
          <w:szCs w:val="21"/>
        </w:rPr>
        <w:t>LED</w:t>
      </w:r>
      <w:r>
        <w:rPr>
          <w:rFonts w:ascii="Times New Roman" w:eastAsia="宋体" w:hAnsi="Times New Roman" w:cs="Times New Roman"/>
          <w:szCs w:val="21"/>
        </w:rPr>
        <w:t>屏幕的技术要求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因地制宜的规定在不同环境亮度场景下使用时的差异化要求。</w:t>
      </w:r>
      <w:r>
        <w:rPr>
          <w:rFonts w:ascii="Times New Roman" w:eastAsia="宋体" w:hAnsi="Times New Roman" w:cs="Times New Roman" w:hint="eastAsia"/>
          <w:szCs w:val="21"/>
        </w:rPr>
        <w:t>根据实际应用场景不同，</w:t>
      </w:r>
      <w:r>
        <w:rPr>
          <w:rFonts w:ascii="Times New Roman" w:eastAsia="宋体" w:hAnsi="Times New Roman" w:cs="Times New Roman"/>
          <w:szCs w:val="21"/>
        </w:rPr>
        <w:t>分别根据室内无照明场景、室内照明场景、户外场景分别制定了相应的技术要求</w:t>
      </w:r>
      <w:r>
        <w:rPr>
          <w:rFonts w:ascii="Times New Roman" w:eastAsia="宋体" w:hAnsi="Times New Roman" w:cs="Times New Roman" w:hint="eastAsia"/>
          <w:szCs w:val="21"/>
        </w:rPr>
        <w:t>，从而可有效拓展电影公共服务的适应性，为</w:t>
      </w:r>
      <w:r>
        <w:rPr>
          <w:rFonts w:ascii="Times New Roman" w:eastAsia="宋体" w:hAnsi="Times New Roman" w:cs="Times New Roman"/>
          <w:szCs w:val="21"/>
        </w:rPr>
        <w:t>多运营模式</w:t>
      </w:r>
      <w:r>
        <w:rPr>
          <w:rFonts w:ascii="Times New Roman" w:eastAsia="宋体" w:hAnsi="Times New Roman" w:cs="Times New Roman" w:hint="eastAsia"/>
          <w:szCs w:val="21"/>
        </w:rPr>
        <w:t>打下技术基础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7E9DD288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12" w:name="_Toc1461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lastRenderedPageBreak/>
        <w:t>主要调研、试验验证分析和技术经济论证</w:t>
      </w:r>
      <w:bookmarkEnd w:id="12"/>
    </w:p>
    <w:p w14:paraId="07A29FA0" w14:textId="77777777" w:rsidR="0008329F" w:rsidRDefault="00DF12A7">
      <w:pPr>
        <w:numPr>
          <w:ilvl w:val="0"/>
          <w:numId w:val="7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3" w:name="_Toc8710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调研分析</w:t>
      </w:r>
      <w:bookmarkEnd w:id="13"/>
    </w:p>
    <w:p w14:paraId="6B25CA56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起草组于</w:t>
      </w:r>
      <w:r>
        <w:rPr>
          <w:rFonts w:ascii="Times New Roman" w:eastAsia="宋体" w:hAnsi="Times New Roman" w:cs="Times New Roman"/>
          <w:szCs w:val="21"/>
        </w:rPr>
        <w:t>2024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月至</w:t>
      </w:r>
      <w:r>
        <w:rPr>
          <w:rFonts w:ascii="Times New Roman" w:eastAsia="宋体" w:hAnsi="Times New Roman" w:cs="Times New Roman"/>
          <w:szCs w:val="21"/>
        </w:rPr>
        <w:t>2024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月，针对电影公共服务</w:t>
      </w:r>
      <w:r>
        <w:rPr>
          <w:rFonts w:ascii="Times New Roman" w:eastAsia="宋体" w:hAnsi="Times New Roman" w:cs="Times New Roman" w:hint="eastAsia"/>
          <w:szCs w:val="21"/>
        </w:rPr>
        <w:t>的相关技术情况、运营模式和场景</w:t>
      </w:r>
      <w:r>
        <w:rPr>
          <w:rFonts w:ascii="Times New Roman" w:eastAsia="宋体" w:hAnsi="Times New Roman" w:cs="Times New Roman"/>
          <w:szCs w:val="21"/>
        </w:rPr>
        <w:t>等进行了调研。</w:t>
      </w:r>
      <w:r>
        <w:rPr>
          <w:rFonts w:ascii="Times New Roman" w:eastAsia="宋体" w:hAnsi="Times New Roman" w:cs="Times New Roman" w:hint="eastAsia"/>
          <w:szCs w:val="21"/>
        </w:rPr>
        <w:t>调研情况</w:t>
      </w:r>
      <w:r>
        <w:rPr>
          <w:rFonts w:ascii="Times New Roman" w:eastAsia="宋体" w:hAnsi="Times New Roman" w:cs="Times New Roman"/>
          <w:szCs w:val="21"/>
        </w:rPr>
        <w:t>详见《</w:t>
      </w:r>
      <w:r>
        <w:rPr>
          <w:rFonts w:ascii="Times New Roman" w:eastAsia="宋体" w:hAnsi="Times New Roman" w:cs="Times New Roman" w:hint="eastAsia"/>
          <w:szCs w:val="21"/>
        </w:rPr>
        <w:t>公益电影放映场景分析</w:t>
      </w:r>
      <w:r>
        <w:rPr>
          <w:rFonts w:ascii="Times New Roman" w:eastAsia="宋体" w:hAnsi="Times New Roman" w:cs="Times New Roman"/>
          <w:szCs w:val="21"/>
        </w:rPr>
        <w:t>》、《</w:t>
      </w:r>
      <w:r>
        <w:rPr>
          <w:rFonts w:ascii="Times New Roman" w:eastAsia="宋体" w:hAnsi="Times New Roman" w:cs="Times New Roman" w:hint="eastAsia"/>
          <w:szCs w:val="21"/>
        </w:rPr>
        <w:t>物联网卡调研</w:t>
      </w:r>
      <w:r>
        <w:rPr>
          <w:rFonts w:ascii="Times New Roman" w:eastAsia="宋体" w:hAnsi="Times New Roman" w:cs="Times New Roman"/>
          <w:szCs w:val="21"/>
        </w:rPr>
        <w:t>》</w:t>
      </w:r>
      <w:r>
        <w:rPr>
          <w:rFonts w:ascii="Times New Roman" w:eastAsia="宋体" w:hAnsi="Times New Roman" w:cs="Times New Roman" w:hint="eastAsia"/>
          <w:szCs w:val="21"/>
        </w:rPr>
        <w:t>和《芯片调研报告》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04D2661D" w14:textId="77777777" w:rsidR="0008329F" w:rsidRDefault="00DF12A7">
      <w:pPr>
        <w:numPr>
          <w:ilvl w:val="0"/>
          <w:numId w:val="7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4" w:name="_Toc725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试验验证分析</w:t>
      </w:r>
      <w:bookmarkEnd w:id="14"/>
    </w:p>
    <w:p w14:paraId="077DC78D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highlight w:val="yellow"/>
        </w:rPr>
        <w:t>等待质检所完成检测报告</w:t>
      </w:r>
    </w:p>
    <w:p w14:paraId="16A427BA" w14:textId="77777777" w:rsidR="0008329F" w:rsidRDefault="00DF12A7">
      <w:pPr>
        <w:numPr>
          <w:ilvl w:val="0"/>
          <w:numId w:val="7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5" w:name="_Toc23569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技术经济论证</w:t>
      </w:r>
      <w:bookmarkEnd w:id="15"/>
    </w:p>
    <w:p w14:paraId="7262D876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本次放映系统技术完善和修订为电影公共服务从“站着看”到“坐着看”、从“室外看”到“室内看”、从“免费看”到“适度收费看”的三个转变赋能。本次标准修订重点提高视音频效果、发挥移动互联网运营效能、适配各类放映场所特点、支撑灵活的运营模式等方面，为实现国家“十四五”规划和电影“十四五”发展规划关于“推进农村放映优化升级”、“升级电影公共服务”任务要求奠定基础。</w:t>
      </w:r>
    </w:p>
    <w:p w14:paraId="0F73E239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16" w:name="_Toc18067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国内外相关技术及标准发展现状及对比分析</w:t>
      </w:r>
      <w:bookmarkEnd w:id="16"/>
    </w:p>
    <w:p w14:paraId="03FDB734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国外无相关技术标准。</w:t>
      </w:r>
    </w:p>
    <w:p w14:paraId="555EDEA9" w14:textId="397E1589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目前国内现行技术标准是在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011</w:t>
      </w:r>
      <w:r>
        <w:rPr>
          <w:rFonts w:ascii="Times New Roman" w:eastAsia="宋体" w:hAnsi="Times New Roman" w:cs="Times New Roman" w:hint="eastAsia"/>
          <w:szCs w:val="21"/>
        </w:rPr>
        <w:t>年发布的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/>
          <w:szCs w:val="21"/>
        </w:rPr>
        <w:t>《数字电影流动放映系统技术要求和测量方法》</w:t>
      </w:r>
      <w:r>
        <w:rPr>
          <w:rFonts w:ascii="Times New Roman" w:eastAsia="宋体" w:hAnsi="Times New Roman" w:cs="Times New Roman" w:hint="eastAsia"/>
          <w:szCs w:val="21"/>
        </w:rPr>
        <w:t>，全国现有约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万台</w:t>
      </w:r>
      <w:r>
        <w:rPr>
          <w:rFonts w:ascii="Times New Roman" w:eastAsia="宋体" w:hAnsi="Times New Roman" w:cs="Times New Roman" w:hint="eastAsia"/>
          <w:szCs w:val="21"/>
        </w:rPr>
        <w:t>符合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 w:hint="eastAsia"/>
          <w:szCs w:val="21"/>
        </w:rPr>
        <w:t>的放映终端在运营中</w:t>
      </w:r>
      <w:r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 w:hint="eastAsia"/>
          <w:szCs w:val="21"/>
        </w:rPr>
        <w:t>本次标准修订重点提高视音频效果、发挥移动互联网运营效能、适配各类放映场所特点、支撑灵活的运营模式等方面，以技术创新推动电影公益放映机制体制创新。主要更新以下方面：</w:t>
      </w:r>
    </w:p>
    <w:p w14:paraId="271119C8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更新</w:t>
      </w:r>
      <w:r>
        <w:rPr>
          <w:rFonts w:ascii="Times New Roman" w:eastAsia="宋体" w:hAnsi="Times New Roman" w:cs="Times New Roman"/>
          <w:szCs w:val="21"/>
        </w:rPr>
        <w:t>音视频技术，采用最新的</w:t>
      </w:r>
      <w:r>
        <w:rPr>
          <w:rFonts w:ascii="Times New Roman" w:eastAsia="宋体" w:hAnsi="Times New Roman" w:cs="Times New Roman"/>
          <w:szCs w:val="21"/>
        </w:rPr>
        <w:t>AVS2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HEVC</w:t>
      </w:r>
      <w:r>
        <w:rPr>
          <w:rFonts w:ascii="Times New Roman" w:eastAsia="宋体" w:hAnsi="Times New Roman" w:cs="Times New Roman"/>
          <w:szCs w:val="21"/>
        </w:rPr>
        <w:t>技术</w:t>
      </w:r>
      <w:r>
        <w:rPr>
          <w:rFonts w:ascii="Times New Roman" w:eastAsia="宋体" w:hAnsi="Times New Roman" w:cs="Times New Roman" w:hint="eastAsia"/>
          <w:szCs w:val="21"/>
        </w:rPr>
        <w:t>替代老旧的</w:t>
      </w:r>
      <w:r>
        <w:rPr>
          <w:rFonts w:ascii="Times New Roman" w:eastAsia="宋体" w:hAnsi="Times New Roman" w:cs="Times New Roman" w:hint="eastAsia"/>
          <w:szCs w:val="21"/>
        </w:rPr>
        <w:t>MP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编码</w:t>
      </w:r>
      <w:r>
        <w:rPr>
          <w:rFonts w:ascii="Times New Roman" w:eastAsia="宋体" w:hAnsi="Times New Roman" w:cs="Times New Roman"/>
          <w:szCs w:val="21"/>
        </w:rPr>
        <w:t>，利用高效音视频编码方法制作影片发行母版，在同等码率下较原有编码格式大大提高放映画面与声音质量。</w:t>
      </w:r>
    </w:p>
    <w:p w14:paraId="5616C9F9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增加</w:t>
      </w:r>
      <w:r>
        <w:rPr>
          <w:rFonts w:ascii="Times New Roman" w:eastAsia="宋体" w:hAnsi="Times New Roman" w:cs="Times New Roman"/>
          <w:szCs w:val="21"/>
        </w:rPr>
        <w:t>移动互联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物联网技术</w:t>
      </w:r>
      <w:r>
        <w:rPr>
          <w:rFonts w:ascii="Times New Roman" w:eastAsia="宋体" w:hAnsi="Times New Roman" w:cs="Times New Roman" w:hint="eastAsia"/>
          <w:szCs w:val="21"/>
        </w:rPr>
        <w:t>支持</w:t>
      </w:r>
      <w:r>
        <w:rPr>
          <w:rFonts w:ascii="Times New Roman" w:eastAsia="宋体" w:hAnsi="Times New Roman" w:cs="Times New Roman"/>
          <w:szCs w:val="21"/>
        </w:rPr>
        <w:t>，利用物联网技术实现放映终端云播控，影片</w:t>
      </w:r>
      <w:proofErr w:type="gramStart"/>
      <w:r>
        <w:rPr>
          <w:rFonts w:ascii="Times New Roman" w:eastAsia="宋体" w:hAnsi="Times New Roman" w:cs="Times New Roman"/>
          <w:szCs w:val="21"/>
        </w:rPr>
        <w:t>发行版云传输</w:t>
      </w:r>
      <w:proofErr w:type="gramEnd"/>
      <w:r>
        <w:rPr>
          <w:rFonts w:ascii="Times New Roman" w:eastAsia="宋体" w:hAnsi="Times New Roman" w:cs="Times New Roman"/>
          <w:szCs w:val="21"/>
        </w:rPr>
        <w:t>，手机</w:t>
      </w:r>
      <w:r>
        <w:rPr>
          <w:rFonts w:ascii="Times New Roman" w:eastAsia="宋体" w:hAnsi="Times New Roman" w:cs="Times New Roman"/>
          <w:szCs w:val="21"/>
        </w:rPr>
        <w:t>app</w:t>
      </w:r>
      <w:r>
        <w:rPr>
          <w:rFonts w:ascii="Times New Roman" w:eastAsia="宋体" w:hAnsi="Times New Roman" w:cs="Times New Roman"/>
          <w:szCs w:val="21"/>
        </w:rPr>
        <w:t>订购与实时授权提高放映员的工作效率；通过</w:t>
      </w:r>
      <w:r>
        <w:rPr>
          <w:rFonts w:ascii="Times New Roman" w:eastAsia="宋体" w:hAnsi="Times New Roman" w:cs="Times New Roman"/>
          <w:szCs w:val="21"/>
        </w:rPr>
        <w:t>4g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5g</w:t>
      </w:r>
      <w:r>
        <w:rPr>
          <w:rFonts w:ascii="Times New Roman" w:eastAsia="宋体" w:hAnsi="Times New Roman" w:cs="Times New Roman"/>
          <w:szCs w:val="21"/>
        </w:rPr>
        <w:t>全网通信、北斗定位、有线无线网络模块，实时定位，实时回传。</w:t>
      </w:r>
    </w:p>
    <w:p w14:paraId="434F37C3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更新</w:t>
      </w:r>
      <w:r>
        <w:rPr>
          <w:rFonts w:ascii="Times New Roman" w:eastAsia="宋体" w:hAnsi="Times New Roman" w:cs="Times New Roman"/>
          <w:szCs w:val="21"/>
        </w:rPr>
        <w:t>数字版权保护</w:t>
      </w:r>
      <w:r>
        <w:rPr>
          <w:rFonts w:ascii="Times New Roman" w:eastAsia="宋体" w:hAnsi="Times New Roman" w:cs="Times New Roman" w:hint="eastAsia"/>
          <w:szCs w:val="21"/>
        </w:rPr>
        <w:t>技术：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 w:hint="eastAsia"/>
          <w:szCs w:val="21"/>
        </w:rPr>
        <w:t>中以</w:t>
      </w:r>
      <w:r>
        <w:rPr>
          <w:rFonts w:ascii="Times New Roman" w:eastAsia="宋体" w:hAnsi="Times New Roman" w:cs="Times New Roman" w:hint="eastAsia"/>
          <w:szCs w:val="21"/>
        </w:rPr>
        <w:t>3DES</w:t>
      </w:r>
      <w:r>
        <w:rPr>
          <w:rFonts w:ascii="Times New Roman" w:eastAsia="宋体" w:hAnsi="Times New Roman" w:cs="Times New Roman" w:hint="eastAsia"/>
          <w:szCs w:val="21"/>
        </w:rPr>
        <w:t>加密算法、视频关键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帧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加密、</w:t>
      </w:r>
      <w:r>
        <w:rPr>
          <w:rFonts w:ascii="Times New Roman" w:eastAsia="宋体" w:hAnsi="Times New Roman" w:cs="Times New Roman" w:hint="eastAsia"/>
          <w:szCs w:val="21"/>
        </w:rPr>
        <w:t>IC</w:t>
      </w:r>
      <w:r>
        <w:rPr>
          <w:rFonts w:ascii="Times New Roman" w:eastAsia="宋体" w:hAnsi="Times New Roman" w:cs="Times New Roman" w:hint="eastAsia"/>
          <w:szCs w:val="21"/>
        </w:rPr>
        <w:t>卡等技术构建的安全体系以无法满足要求。新标准将</w:t>
      </w:r>
      <w:r>
        <w:rPr>
          <w:rFonts w:ascii="Times New Roman" w:eastAsia="宋体" w:hAnsi="Times New Roman" w:cs="Times New Roman"/>
          <w:szCs w:val="21"/>
        </w:rPr>
        <w:t>以安全的数字版权保护为中心，建立自主知识产权的打包加密体系，以国密标准为核心加密算法。同时</w:t>
      </w:r>
      <w:r>
        <w:rPr>
          <w:rFonts w:ascii="Times New Roman" w:eastAsia="宋体" w:hAnsi="Times New Roman" w:cs="Times New Roman" w:hint="eastAsia"/>
          <w:szCs w:val="21"/>
        </w:rPr>
        <w:t>增加</w:t>
      </w:r>
      <w:r>
        <w:rPr>
          <w:rFonts w:ascii="Times New Roman" w:eastAsia="宋体" w:hAnsi="Times New Roman" w:cs="Times New Roman"/>
          <w:szCs w:val="21"/>
        </w:rPr>
        <w:t>视音频水印技术</w:t>
      </w:r>
      <w:r>
        <w:rPr>
          <w:rFonts w:ascii="Times New Roman" w:eastAsia="宋体" w:hAnsi="Times New Roman" w:cs="Times New Roman" w:hint="eastAsia"/>
          <w:szCs w:val="21"/>
        </w:rPr>
        <w:t>支持，以</w:t>
      </w:r>
      <w:proofErr w:type="gramStart"/>
      <w:r>
        <w:rPr>
          <w:rFonts w:ascii="Times New Roman" w:eastAsia="宋体" w:hAnsi="Times New Roman" w:cs="Times New Roman"/>
          <w:szCs w:val="21"/>
        </w:rPr>
        <w:t>提供盗拍追踪</w:t>
      </w:r>
      <w:proofErr w:type="gramEnd"/>
      <w:r>
        <w:rPr>
          <w:rFonts w:ascii="Times New Roman" w:eastAsia="宋体" w:hAnsi="Times New Roman" w:cs="Times New Roman"/>
          <w:szCs w:val="21"/>
        </w:rPr>
        <w:t>能力。</w:t>
      </w:r>
    </w:p>
    <w:p w14:paraId="511B19AB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增加对新的</w:t>
      </w:r>
      <w:r>
        <w:rPr>
          <w:rFonts w:ascii="Times New Roman" w:eastAsia="宋体" w:hAnsi="Times New Roman" w:cs="Times New Roman"/>
          <w:szCs w:val="21"/>
        </w:rPr>
        <w:t>显示技术</w:t>
      </w:r>
      <w:r>
        <w:rPr>
          <w:rFonts w:ascii="Times New Roman" w:eastAsia="宋体" w:hAnsi="Times New Roman" w:cs="Times New Roman" w:hint="eastAsia"/>
          <w:szCs w:val="21"/>
        </w:rPr>
        <w:t>支持：</w:t>
      </w:r>
      <w:r>
        <w:rPr>
          <w:rFonts w:ascii="Times New Roman" w:eastAsia="宋体" w:hAnsi="Times New Roman" w:cs="Times New Roman"/>
          <w:szCs w:val="21"/>
        </w:rPr>
        <w:t>随着这些年显示技术的快速发展，原有技术指标已经严重落后与市场需求。</w:t>
      </w:r>
      <w:r>
        <w:rPr>
          <w:rFonts w:ascii="Times New Roman" w:eastAsia="宋体" w:hAnsi="Times New Roman" w:cs="Times New Roman" w:hint="eastAsia"/>
          <w:szCs w:val="21"/>
        </w:rPr>
        <w:t>本标准</w:t>
      </w:r>
      <w:r>
        <w:rPr>
          <w:rFonts w:ascii="Times New Roman" w:eastAsia="宋体" w:hAnsi="Times New Roman" w:cs="Times New Roman"/>
          <w:szCs w:val="21"/>
        </w:rPr>
        <w:t>将提高投影设备的技术要求，增加激光光源的应用。规范与统一</w:t>
      </w:r>
      <w:r>
        <w:rPr>
          <w:rFonts w:ascii="Times New Roman" w:eastAsia="宋体" w:hAnsi="Times New Roman" w:cs="Times New Roman"/>
          <w:szCs w:val="21"/>
        </w:rPr>
        <w:t>LED</w:t>
      </w:r>
      <w:r>
        <w:rPr>
          <w:rFonts w:ascii="Times New Roman" w:eastAsia="宋体" w:hAnsi="Times New Roman" w:cs="Times New Roman"/>
          <w:szCs w:val="21"/>
        </w:rPr>
        <w:t>屏幕的技术要求，因地制宜的规定在不同环境亮度场景下使用时的差异化要求。</w:t>
      </w:r>
    </w:p>
    <w:p w14:paraId="210CAE35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增加</w:t>
      </w:r>
      <w:r>
        <w:rPr>
          <w:rFonts w:ascii="Times New Roman" w:eastAsia="宋体" w:hAnsi="Times New Roman" w:cs="Times New Roman"/>
          <w:szCs w:val="21"/>
        </w:rPr>
        <w:t>多种运营模式</w:t>
      </w:r>
      <w:r>
        <w:rPr>
          <w:rFonts w:ascii="Times New Roman" w:eastAsia="宋体" w:hAnsi="Times New Roman" w:cs="Times New Roman" w:hint="eastAsia"/>
          <w:szCs w:val="21"/>
        </w:rPr>
        <w:t>支持：</w:t>
      </w:r>
      <w:r>
        <w:rPr>
          <w:rFonts w:ascii="Times New Roman" w:eastAsia="宋体" w:hAnsi="Times New Roman" w:cs="Times New Roman"/>
          <w:szCs w:val="21"/>
        </w:rPr>
        <w:t>推动电影公共服务支持多种，农村、学校、社区、广场、新时代文明实践中心（所、站）、军队、厂矿、特殊</w:t>
      </w:r>
      <w:proofErr w:type="gramStart"/>
      <w:r>
        <w:rPr>
          <w:rFonts w:ascii="Times New Roman" w:eastAsia="宋体" w:hAnsi="Times New Roman" w:cs="Times New Roman"/>
          <w:szCs w:val="21"/>
        </w:rPr>
        <w:t>群体关护组织</w:t>
      </w:r>
      <w:proofErr w:type="gramEnd"/>
      <w:r>
        <w:rPr>
          <w:rFonts w:ascii="Times New Roman" w:eastAsia="宋体" w:hAnsi="Times New Roman" w:cs="Times New Roman"/>
          <w:szCs w:val="21"/>
        </w:rPr>
        <w:t>机构等多种场景运营模式。</w:t>
      </w:r>
    </w:p>
    <w:p w14:paraId="520C951C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与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/>
          <w:szCs w:val="21"/>
        </w:rPr>
        <w:t>相比，除结构调整和编辑性改动外，主要技术变化如下：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8"/>
        <w:gridCol w:w="1938"/>
        <w:gridCol w:w="1943"/>
        <w:gridCol w:w="3985"/>
      </w:tblGrid>
      <w:tr w:rsidR="0008329F" w14:paraId="016A87F4" w14:textId="77777777">
        <w:tc>
          <w:tcPr>
            <w:tcW w:w="988" w:type="dxa"/>
            <w:shd w:val="clear" w:color="auto" w:fill="E8E8E8" w:themeFill="background2"/>
            <w:vAlign w:val="center"/>
          </w:tcPr>
          <w:p w14:paraId="47C127B1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581C86F1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  <w:proofErr w:type="gramStart"/>
            <w:r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1985" w:type="dxa"/>
            <w:shd w:val="clear" w:color="auto" w:fill="E8E8E8" w:themeFill="background2"/>
            <w:vAlign w:val="center"/>
          </w:tcPr>
          <w:p w14:paraId="5971BCFE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GY/T 251—2011</w:t>
            </w:r>
            <w:proofErr w:type="gramStart"/>
            <w:r>
              <w:rPr>
                <w:szCs w:val="21"/>
              </w:rPr>
              <w:t>章条编号</w:t>
            </w:r>
            <w:proofErr w:type="gramEnd"/>
          </w:p>
        </w:tc>
        <w:tc>
          <w:tcPr>
            <w:tcW w:w="4103" w:type="dxa"/>
            <w:shd w:val="clear" w:color="auto" w:fill="E8E8E8" w:themeFill="background2"/>
            <w:vAlign w:val="center"/>
          </w:tcPr>
          <w:p w14:paraId="7B6C3642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变更说明</w:t>
            </w:r>
          </w:p>
        </w:tc>
      </w:tr>
      <w:tr w:rsidR="0008329F" w14:paraId="2AF2148D" w14:textId="77777777">
        <w:tc>
          <w:tcPr>
            <w:tcW w:w="988" w:type="dxa"/>
            <w:vAlign w:val="center"/>
          </w:tcPr>
          <w:p w14:paraId="6EEE466C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109293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04D3E1A8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103" w:type="dxa"/>
          </w:tcPr>
          <w:p w14:paraId="4F848BC0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更改了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电影公共服务放映系统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的内容</w:t>
            </w:r>
          </w:p>
        </w:tc>
      </w:tr>
      <w:tr w:rsidR="0008329F" w14:paraId="2A142556" w14:textId="77777777">
        <w:tc>
          <w:tcPr>
            <w:tcW w:w="988" w:type="dxa"/>
            <w:vAlign w:val="center"/>
          </w:tcPr>
          <w:p w14:paraId="240B29DC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519F15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6550D160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和附录</w:t>
            </w:r>
            <w:r>
              <w:rPr>
                <w:szCs w:val="21"/>
              </w:rPr>
              <w:t>A</w:t>
            </w:r>
          </w:p>
        </w:tc>
        <w:tc>
          <w:tcPr>
            <w:tcW w:w="4103" w:type="dxa"/>
          </w:tcPr>
          <w:p w14:paraId="687D4D87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更改了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数字电影公共服务放映发行版技术要求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的内容</w:t>
            </w:r>
          </w:p>
        </w:tc>
      </w:tr>
      <w:tr w:rsidR="0008329F" w14:paraId="62C294F2" w14:textId="77777777">
        <w:tc>
          <w:tcPr>
            <w:tcW w:w="988" w:type="dxa"/>
            <w:vAlign w:val="center"/>
          </w:tcPr>
          <w:p w14:paraId="61E9204B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88C519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5.2.2</w:t>
            </w:r>
          </w:p>
        </w:tc>
        <w:tc>
          <w:tcPr>
            <w:tcW w:w="1985" w:type="dxa"/>
            <w:vAlign w:val="center"/>
          </w:tcPr>
          <w:p w14:paraId="64FE207A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4103" w:type="dxa"/>
          </w:tcPr>
          <w:p w14:paraId="0430E4B5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增加了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基于对象的沉浸式音频</w:t>
            </w:r>
            <w:r>
              <w:rPr>
                <w:szCs w:val="21"/>
              </w:rPr>
              <w:t>”</w:t>
            </w:r>
          </w:p>
        </w:tc>
      </w:tr>
      <w:tr w:rsidR="0008329F" w14:paraId="62025574" w14:textId="77777777">
        <w:tc>
          <w:tcPr>
            <w:tcW w:w="988" w:type="dxa"/>
            <w:vAlign w:val="center"/>
          </w:tcPr>
          <w:p w14:paraId="5DD8F3A9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087BE0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4B852647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4103" w:type="dxa"/>
          </w:tcPr>
          <w:p w14:paraId="4E1A4CD5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增加了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数字电影公共服务放映发行管理技术要求</w:t>
            </w:r>
            <w:r>
              <w:rPr>
                <w:szCs w:val="21"/>
              </w:rPr>
              <w:t>”</w:t>
            </w:r>
          </w:p>
        </w:tc>
      </w:tr>
      <w:tr w:rsidR="0008329F" w14:paraId="3E4E0D8A" w14:textId="77777777">
        <w:tc>
          <w:tcPr>
            <w:tcW w:w="988" w:type="dxa"/>
            <w:vAlign w:val="center"/>
          </w:tcPr>
          <w:p w14:paraId="0E952753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124903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5787B1DC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103" w:type="dxa"/>
          </w:tcPr>
          <w:p w14:paraId="0BBF207D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更改了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数字电影公共服务放映设备技术要求</w:t>
            </w:r>
            <w:r>
              <w:rPr>
                <w:szCs w:val="21"/>
              </w:rPr>
              <w:t>”</w:t>
            </w:r>
          </w:p>
        </w:tc>
      </w:tr>
      <w:tr w:rsidR="0008329F" w14:paraId="08A7BCD8" w14:textId="77777777">
        <w:tc>
          <w:tcPr>
            <w:tcW w:w="988" w:type="dxa"/>
            <w:vAlign w:val="center"/>
          </w:tcPr>
          <w:p w14:paraId="536A2E77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B856213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8.1.2</w:t>
            </w:r>
          </w:p>
        </w:tc>
        <w:tc>
          <w:tcPr>
            <w:tcW w:w="1985" w:type="dxa"/>
            <w:vAlign w:val="center"/>
          </w:tcPr>
          <w:p w14:paraId="37103A63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4103" w:type="dxa"/>
          </w:tcPr>
          <w:p w14:paraId="049CA662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增加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数字水印技术要求</w:t>
            </w:r>
            <w:r>
              <w:rPr>
                <w:szCs w:val="21"/>
              </w:rPr>
              <w:t>”</w:t>
            </w:r>
          </w:p>
        </w:tc>
      </w:tr>
      <w:tr w:rsidR="0008329F" w14:paraId="5CF49CD4" w14:textId="77777777">
        <w:tc>
          <w:tcPr>
            <w:tcW w:w="988" w:type="dxa"/>
            <w:vAlign w:val="center"/>
          </w:tcPr>
          <w:p w14:paraId="260469A3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554A6A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8.5</w:t>
            </w:r>
          </w:p>
        </w:tc>
        <w:tc>
          <w:tcPr>
            <w:tcW w:w="1985" w:type="dxa"/>
            <w:vAlign w:val="center"/>
          </w:tcPr>
          <w:p w14:paraId="6D1480D3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4103" w:type="dxa"/>
          </w:tcPr>
          <w:p w14:paraId="469F00F5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增加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一体机</w:t>
            </w:r>
            <w:r>
              <w:rPr>
                <w:szCs w:val="21"/>
              </w:rPr>
              <w:t>”</w:t>
            </w:r>
          </w:p>
        </w:tc>
      </w:tr>
      <w:tr w:rsidR="0008329F" w14:paraId="10DE7E02" w14:textId="77777777">
        <w:tc>
          <w:tcPr>
            <w:tcW w:w="988" w:type="dxa"/>
            <w:vAlign w:val="center"/>
          </w:tcPr>
          <w:p w14:paraId="2F316B73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F3ECFA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14:paraId="49D6F043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附录</w:t>
            </w:r>
            <w:r>
              <w:rPr>
                <w:szCs w:val="21"/>
              </w:rPr>
              <w:t>B</w:t>
            </w:r>
          </w:p>
        </w:tc>
        <w:tc>
          <w:tcPr>
            <w:tcW w:w="4103" w:type="dxa"/>
          </w:tcPr>
          <w:p w14:paraId="55CC1214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删除了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数字电影流动放映系统解密软件</w:t>
            </w:r>
            <w:r>
              <w:rPr>
                <w:szCs w:val="21"/>
              </w:rPr>
              <w:t>SDK</w:t>
            </w:r>
            <w:r>
              <w:rPr>
                <w:szCs w:val="21"/>
              </w:rPr>
              <w:t>编程接口函数</w:t>
            </w:r>
            <w:r>
              <w:rPr>
                <w:szCs w:val="21"/>
              </w:rPr>
              <w:t>”</w:t>
            </w:r>
          </w:p>
        </w:tc>
      </w:tr>
      <w:tr w:rsidR="0008329F" w14:paraId="0AC75C91" w14:textId="77777777">
        <w:tc>
          <w:tcPr>
            <w:tcW w:w="988" w:type="dxa"/>
            <w:vAlign w:val="center"/>
          </w:tcPr>
          <w:p w14:paraId="4294C60D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07ECAD2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14:paraId="7B37BBEB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附录</w:t>
            </w:r>
            <w:r>
              <w:rPr>
                <w:szCs w:val="21"/>
              </w:rPr>
              <w:t>C</w:t>
            </w:r>
          </w:p>
        </w:tc>
        <w:tc>
          <w:tcPr>
            <w:tcW w:w="4103" w:type="dxa"/>
          </w:tcPr>
          <w:p w14:paraId="24311A36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删除了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数字电影流动放映播放器通用操作界面</w:t>
            </w:r>
            <w:r>
              <w:rPr>
                <w:szCs w:val="21"/>
              </w:rPr>
              <w:t>”</w:t>
            </w:r>
          </w:p>
        </w:tc>
      </w:tr>
      <w:tr w:rsidR="0008329F" w14:paraId="0EC2E8EF" w14:textId="77777777">
        <w:tc>
          <w:tcPr>
            <w:tcW w:w="988" w:type="dxa"/>
            <w:vAlign w:val="center"/>
          </w:tcPr>
          <w:p w14:paraId="1D36DD14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CCBF6CB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附录</w:t>
            </w:r>
            <w:r>
              <w:rPr>
                <w:szCs w:val="21"/>
              </w:rPr>
              <w:t>A</w:t>
            </w:r>
          </w:p>
        </w:tc>
        <w:tc>
          <w:tcPr>
            <w:tcW w:w="1985" w:type="dxa"/>
            <w:vAlign w:val="center"/>
          </w:tcPr>
          <w:p w14:paraId="17C7C23C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4103" w:type="dxa"/>
          </w:tcPr>
          <w:p w14:paraId="65732E45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增加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数字电影公共服务放映设备数字水印技术要求和测量方法</w:t>
            </w:r>
            <w:r>
              <w:rPr>
                <w:szCs w:val="21"/>
              </w:rPr>
              <w:t>”</w:t>
            </w:r>
          </w:p>
        </w:tc>
      </w:tr>
      <w:tr w:rsidR="0008329F" w14:paraId="25D72869" w14:textId="77777777">
        <w:tc>
          <w:tcPr>
            <w:tcW w:w="988" w:type="dxa"/>
            <w:vAlign w:val="center"/>
          </w:tcPr>
          <w:p w14:paraId="666EC076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DA4C14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附录</w:t>
            </w:r>
            <w:r>
              <w:rPr>
                <w:szCs w:val="21"/>
              </w:rPr>
              <w:t>B</w:t>
            </w:r>
          </w:p>
        </w:tc>
        <w:tc>
          <w:tcPr>
            <w:tcW w:w="1985" w:type="dxa"/>
            <w:vAlign w:val="center"/>
          </w:tcPr>
          <w:p w14:paraId="6EA5739B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4103" w:type="dxa"/>
          </w:tcPr>
          <w:p w14:paraId="5C50E111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增加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主观评价测量方法</w:t>
            </w:r>
            <w:r>
              <w:rPr>
                <w:szCs w:val="21"/>
              </w:rPr>
              <w:t>”</w:t>
            </w:r>
          </w:p>
        </w:tc>
      </w:tr>
      <w:tr w:rsidR="0008329F" w14:paraId="10B920FA" w14:textId="77777777">
        <w:tc>
          <w:tcPr>
            <w:tcW w:w="988" w:type="dxa"/>
            <w:vAlign w:val="center"/>
          </w:tcPr>
          <w:p w14:paraId="4A3618D0" w14:textId="77777777" w:rsidR="0008329F" w:rsidRDefault="0008329F">
            <w:pPr>
              <w:pStyle w:val="af"/>
              <w:widowControl/>
              <w:numPr>
                <w:ilvl w:val="0"/>
                <w:numId w:val="8"/>
              </w:numPr>
              <w:spacing w:line="360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862C725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附录</w:t>
            </w:r>
            <w:r>
              <w:rPr>
                <w:szCs w:val="21"/>
              </w:rPr>
              <w:t>C</w:t>
            </w:r>
          </w:p>
        </w:tc>
        <w:tc>
          <w:tcPr>
            <w:tcW w:w="1985" w:type="dxa"/>
            <w:vAlign w:val="center"/>
          </w:tcPr>
          <w:p w14:paraId="207E9948" w14:textId="77777777" w:rsidR="0008329F" w:rsidRDefault="00DF12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---</w:t>
            </w:r>
          </w:p>
        </w:tc>
        <w:tc>
          <w:tcPr>
            <w:tcW w:w="4103" w:type="dxa"/>
          </w:tcPr>
          <w:p w14:paraId="33CB1388" w14:textId="77777777" w:rsidR="0008329F" w:rsidRDefault="00DF12A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增加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放映日志上报接口</w:t>
            </w:r>
            <w:r>
              <w:rPr>
                <w:szCs w:val="21"/>
              </w:rPr>
              <w:t>”</w:t>
            </w:r>
          </w:p>
        </w:tc>
      </w:tr>
    </w:tbl>
    <w:p w14:paraId="699EB4AC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17" w:name="_Toc10457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采用国际标准或国外先进标准情况</w:t>
      </w:r>
      <w:bookmarkEnd w:id="17"/>
    </w:p>
    <w:p w14:paraId="6B5A3196" w14:textId="77777777" w:rsidR="0008329F" w:rsidRDefault="00DF12A7">
      <w:pPr>
        <w:spacing w:line="3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无。</w:t>
      </w:r>
    </w:p>
    <w:p w14:paraId="1A661E8C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18" w:name="_Toc20305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与有关法律、行政法规及相关标准的关系</w:t>
      </w:r>
      <w:bookmarkEnd w:id="18"/>
    </w:p>
    <w:p w14:paraId="4AD64114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bookmarkStart w:id="19" w:name="_Toc7167"/>
      <w:r>
        <w:rPr>
          <w:rFonts w:ascii="Times New Roman" w:eastAsia="宋体" w:hAnsi="Times New Roman" w:cs="Times New Roman"/>
          <w:szCs w:val="21"/>
        </w:rPr>
        <w:t>本文件符合《中华人民共和国电影产业促进法》、《中华人民共和国公共文化服务保障法》相关要求。</w:t>
      </w:r>
    </w:p>
    <w:p w14:paraId="7A3D8DB7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重大分歧意见的处理经过和依据</w:t>
      </w:r>
      <w:bookmarkEnd w:id="19"/>
    </w:p>
    <w:p w14:paraId="2672A9E1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无。</w:t>
      </w:r>
    </w:p>
    <w:p w14:paraId="17EBF515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20" w:name="_Toc15848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知识产权有关说明</w:t>
      </w:r>
      <w:bookmarkEnd w:id="20"/>
    </w:p>
    <w:p w14:paraId="5225E006" w14:textId="77777777" w:rsidR="0008329F" w:rsidRDefault="00DF12A7">
      <w:pPr>
        <w:numPr>
          <w:ilvl w:val="0"/>
          <w:numId w:val="9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1" w:name="_Toc10178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涉及专利的有关说明</w:t>
      </w:r>
      <w:bookmarkEnd w:id="21"/>
    </w:p>
    <w:p w14:paraId="50250766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bookmarkStart w:id="22" w:name="_Toc1313"/>
      <w:r>
        <w:rPr>
          <w:rFonts w:ascii="Times New Roman" w:eastAsia="宋体" w:hAnsi="Times New Roman" w:cs="Times New Roman"/>
          <w:szCs w:val="21"/>
        </w:rPr>
        <w:t>本文件的某些内容可能涉及专利。本文件的发布机构不承担识别专利的责任。</w:t>
      </w:r>
    </w:p>
    <w:p w14:paraId="101D5626" w14:textId="77777777" w:rsidR="0008329F" w:rsidRDefault="00DF12A7">
      <w:pPr>
        <w:numPr>
          <w:ilvl w:val="0"/>
          <w:numId w:val="9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其他知识产权说明</w:t>
      </w:r>
      <w:bookmarkEnd w:id="22"/>
    </w:p>
    <w:p w14:paraId="1C867E47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bookmarkStart w:id="23" w:name="_Toc16175"/>
      <w:r>
        <w:rPr>
          <w:rFonts w:ascii="Times New Roman" w:eastAsia="宋体" w:hAnsi="Times New Roman" w:cs="Times New Roman" w:hint="eastAsia"/>
          <w:szCs w:val="21"/>
        </w:rPr>
        <w:t>无。</w:t>
      </w:r>
    </w:p>
    <w:p w14:paraId="277B599D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标准宣</w:t>
      </w:r>
      <w:proofErr w:type="gramStart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贯实施</w:t>
      </w:r>
      <w:proofErr w:type="gramEnd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建议</w:t>
      </w:r>
      <w:bookmarkEnd w:id="23"/>
    </w:p>
    <w:p w14:paraId="42299116" w14:textId="77777777" w:rsidR="0008329F" w:rsidRDefault="00DF12A7">
      <w:pPr>
        <w:numPr>
          <w:ilvl w:val="0"/>
          <w:numId w:val="10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4" w:name="_Toc29107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组织措施</w:t>
      </w:r>
      <w:bookmarkEnd w:id="24"/>
    </w:p>
    <w:p w14:paraId="64744FCC" w14:textId="77777777" w:rsidR="0008329F" w:rsidRDefault="00DF12A7">
      <w:pPr>
        <w:spacing w:line="3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通过电影公共服务相关会议、电影数字节目管理中心组织的全国性电影公益放映培训会、各地开展的地方性培训会议等开展标准</w:t>
      </w:r>
      <w:proofErr w:type="gramStart"/>
      <w:r>
        <w:rPr>
          <w:rFonts w:ascii="Times New Roman" w:eastAsia="宋体" w:hAnsi="Times New Roman" w:cs="Times New Roman"/>
          <w:szCs w:val="21"/>
        </w:rPr>
        <w:t>宣贯和内容</w:t>
      </w:r>
      <w:proofErr w:type="gramEnd"/>
      <w:r>
        <w:rPr>
          <w:rFonts w:ascii="Times New Roman" w:eastAsia="宋体" w:hAnsi="Times New Roman" w:cs="Times New Roman"/>
          <w:szCs w:val="21"/>
        </w:rPr>
        <w:t>阐释。</w:t>
      </w:r>
    </w:p>
    <w:p w14:paraId="4E3F753B" w14:textId="77777777" w:rsidR="0008329F" w:rsidRDefault="00DF12A7">
      <w:pPr>
        <w:spacing w:line="3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标准起草单位为各地标准实施提供必要的技术咨询，确保标准的顺利落地。</w:t>
      </w:r>
    </w:p>
    <w:p w14:paraId="4FAFC38C" w14:textId="77777777" w:rsidR="0008329F" w:rsidRDefault="00DF12A7">
      <w:pPr>
        <w:numPr>
          <w:ilvl w:val="0"/>
          <w:numId w:val="10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5" w:name="_Toc29330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技术措施</w:t>
      </w:r>
      <w:bookmarkEnd w:id="25"/>
    </w:p>
    <w:p w14:paraId="1DCC3402" w14:textId="77777777" w:rsidR="0008329F" w:rsidRDefault="00DF12A7">
      <w:pPr>
        <w:spacing w:line="380" w:lineRule="exact"/>
        <w:rPr>
          <w:rFonts w:ascii="Times New Roman" w:eastAsia="宋体" w:hAnsi="Times New Roman" w:cs="Times New Roman"/>
          <w:szCs w:val="21"/>
        </w:rPr>
      </w:pPr>
      <w:bookmarkStart w:id="26" w:name="_Toc14176"/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建设示范平台，召开示范现场会，通过示范推动，加强各地对标准的理解，确保标准有效实行。</w:t>
      </w:r>
    </w:p>
    <w:p w14:paraId="24EDA16F" w14:textId="77777777" w:rsidR="0008329F" w:rsidRDefault="00DF12A7">
      <w:pPr>
        <w:numPr>
          <w:ilvl w:val="0"/>
          <w:numId w:val="10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过渡期及办法</w:t>
      </w:r>
      <w:bookmarkEnd w:id="26"/>
    </w:p>
    <w:p w14:paraId="44D92F62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对于新增设备尽量引导行业内各个单位采用新标准，而市场存量设备仍然采用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 w:hint="eastAsia"/>
          <w:szCs w:val="21"/>
        </w:rPr>
        <w:t>标准。</w:t>
      </w:r>
    </w:p>
    <w:p w14:paraId="4B56F56B" w14:textId="77777777" w:rsidR="0008329F" w:rsidRDefault="00DF12A7">
      <w:pPr>
        <w:numPr>
          <w:ilvl w:val="0"/>
          <w:numId w:val="10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7" w:name="_Toc8358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实施日期</w:t>
      </w:r>
      <w:bookmarkEnd w:id="27"/>
    </w:p>
    <w:p w14:paraId="7FDF82BA" w14:textId="77777777" w:rsidR="0008329F" w:rsidRDefault="00DF12A7">
      <w:pPr>
        <w:spacing w:line="380" w:lineRule="exact"/>
        <w:rPr>
          <w:rFonts w:ascii="Times New Roman" w:eastAsia="宋体" w:hAnsi="Times New Roman" w:cs="Times New Roman"/>
          <w:szCs w:val="21"/>
        </w:rPr>
      </w:pPr>
      <w:bookmarkStart w:id="28" w:name="_Toc21491"/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建议标准发布后立即实施。</w:t>
      </w:r>
    </w:p>
    <w:p w14:paraId="6211D865" w14:textId="77777777" w:rsidR="0008329F" w:rsidRDefault="00DF12A7">
      <w:pPr>
        <w:numPr>
          <w:ilvl w:val="0"/>
          <w:numId w:val="10"/>
        </w:numPr>
        <w:spacing w:line="380" w:lineRule="exact"/>
        <w:ind w:firstLine="0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废止现行有关标准的建议</w:t>
      </w:r>
      <w:bookmarkEnd w:id="28"/>
    </w:p>
    <w:p w14:paraId="312A7AC8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本次标准编写是为了代替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/>
          <w:szCs w:val="21"/>
        </w:rPr>
        <w:t>，但是考虑到目前全国运营的放映终端近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万台系统尚在运行当中，因此，在本标准发布后不废止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/>
          <w:szCs w:val="21"/>
        </w:rPr>
        <w:t>标准，两个标准需要并行一段时间。在完成新标准终端替代后，再行废止</w:t>
      </w:r>
      <w:r>
        <w:rPr>
          <w:rFonts w:ascii="Times New Roman" w:eastAsia="宋体" w:hAnsi="Times New Roman" w:cs="Times New Roman"/>
          <w:szCs w:val="21"/>
        </w:rPr>
        <w:t>GY/T 251—2011</w:t>
      </w:r>
      <w:r>
        <w:rPr>
          <w:rFonts w:ascii="Times New Roman" w:eastAsia="宋体" w:hAnsi="Times New Roman" w:cs="Times New Roman"/>
          <w:szCs w:val="21"/>
        </w:rPr>
        <w:t>标准。</w:t>
      </w:r>
    </w:p>
    <w:p w14:paraId="61A78251" w14:textId="77777777" w:rsidR="0008329F" w:rsidRDefault="00DF12A7">
      <w:pPr>
        <w:numPr>
          <w:ilvl w:val="0"/>
          <w:numId w:val="2"/>
        </w:numPr>
        <w:spacing w:line="380" w:lineRule="exact"/>
        <w:jc w:val="left"/>
        <w:outlineLvl w:val="0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bookmarkStart w:id="29" w:name="_Toc27164"/>
      <w:r>
        <w:rPr>
          <w:rFonts w:ascii="Times New Roman" w:eastAsia="黑体" w:hAnsi="Times New Roman" w:cs="Times New Roman" w:hint="eastAsia"/>
          <w:b/>
          <w:bCs/>
          <w:color w:val="000000"/>
          <w:sz w:val="24"/>
          <w:szCs w:val="24"/>
        </w:rPr>
        <w:t>其他应当说明的事项</w:t>
      </w:r>
      <w:bookmarkEnd w:id="29"/>
    </w:p>
    <w:p w14:paraId="52DBD93C" w14:textId="77777777" w:rsidR="0008329F" w:rsidRDefault="00DF12A7">
      <w:pPr>
        <w:spacing w:line="38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无。</w:t>
      </w:r>
    </w:p>
    <w:p w14:paraId="7F6B8F89" w14:textId="77777777" w:rsidR="0008329F" w:rsidRDefault="0008329F">
      <w:pPr>
        <w:spacing w:line="38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sectPr w:rsidR="0008329F">
      <w:pgSz w:w="11906" w:h="16838"/>
      <w:pgMar w:top="1701" w:right="1474" w:bottom="1474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B7F9" w14:textId="77777777" w:rsidR="0071330F" w:rsidRDefault="00DF12A7">
      <w:r>
        <w:separator/>
      </w:r>
    </w:p>
  </w:endnote>
  <w:endnote w:type="continuationSeparator" w:id="0">
    <w:p w14:paraId="33494BCD" w14:textId="77777777" w:rsidR="0071330F" w:rsidRDefault="00DF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9879DF3-4C00-4AAE-A645-EE0FB52E07A7}"/>
    <w:embedBold r:id="rId2" w:subsetted="1" w:fontKey="{7317F93D-1A24-426A-9C3B-0EC6FB5A056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Bold r:id="rId3" w:subsetted="1" w:fontKey="{E8ECC374-BFD9-4425-947A-F0DB38DB0322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B03495B6-1BD3-4999-BFE7-12817C9F037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D666DB0-170C-4B17-B13E-44BF92ACDF6B}"/>
    <w:embedBold r:id="rId6" w:subsetted="1" w:fontKey="{C4FE5FD3-50F7-409C-A58F-EF684D57CF3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C77D0ADE-BA4B-4B4B-925E-002351176CE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980584"/>
    </w:sdtPr>
    <w:sdtEndPr/>
    <w:sdtContent>
      <w:p w14:paraId="090F9812" w14:textId="77777777" w:rsidR="0008329F" w:rsidRDefault="00DF12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49A91B" w14:textId="77777777" w:rsidR="0008329F" w:rsidRDefault="000832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D98F" w14:textId="77777777" w:rsidR="0071330F" w:rsidRDefault="00DF12A7">
      <w:r>
        <w:separator/>
      </w:r>
    </w:p>
  </w:footnote>
  <w:footnote w:type="continuationSeparator" w:id="0">
    <w:p w14:paraId="41CAA947" w14:textId="77777777" w:rsidR="0071330F" w:rsidRDefault="00DF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BE1A40"/>
    <w:multiLevelType w:val="singleLevel"/>
    <w:tmpl w:val="8BBE1A4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BA89CD3"/>
    <w:multiLevelType w:val="singleLevel"/>
    <w:tmpl w:val="CBA89CD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E0E98DC8"/>
    <w:multiLevelType w:val="singleLevel"/>
    <w:tmpl w:val="E0E98DC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EED48475"/>
    <w:multiLevelType w:val="singleLevel"/>
    <w:tmpl w:val="EED4847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08568896"/>
    <w:multiLevelType w:val="singleLevel"/>
    <w:tmpl w:val="0856889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8558178"/>
    <w:multiLevelType w:val="singleLevel"/>
    <w:tmpl w:val="1855817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2AAE09AA"/>
    <w:multiLevelType w:val="multilevel"/>
    <w:tmpl w:val="2AAE09AA"/>
    <w:lvl w:ilvl="0">
      <w:start w:val="1"/>
      <w:numFmt w:val="decimal"/>
      <w:pStyle w:val="a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B64B94B"/>
    <w:multiLevelType w:val="singleLevel"/>
    <w:tmpl w:val="2B64B94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3F141B33"/>
    <w:multiLevelType w:val="multilevel"/>
    <w:tmpl w:val="3F141B33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B13E1B"/>
    <w:multiLevelType w:val="multilevel"/>
    <w:tmpl w:val="5CB13E1B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mN2EwNzYwZDc5MjExOGExMDc4NmJjNmU2ZGJlMjAifQ=="/>
  </w:docVars>
  <w:rsids>
    <w:rsidRoot w:val="00BE3F0C"/>
    <w:rsid w:val="00064B04"/>
    <w:rsid w:val="0007767F"/>
    <w:rsid w:val="00080E52"/>
    <w:rsid w:val="0008329F"/>
    <w:rsid w:val="00092A28"/>
    <w:rsid w:val="000D0A87"/>
    <w:rsid w:val="000E5B2C"/>
    <w:rsid w:val="00114591"/>
    <w:rsid w:val="0011559A"/>
    <w:rsid w:val="001660FB"/>
    <w:rsid w:val="00166993"/>
    <w:rsid w:val="00192C7A"/>
    <w:rsid w:val="001B624B"/>
    <w:rsid w:val="001B71D4"/>
    <w:rsid w:val="001C7D88"/>
    <w:rsid w:val="001D7C8D"/>
    <w:rsid w:val="001E6325"/>
    <w:rsid w:val="00201239"/>
    <w:rsid w:val="00202D26"/>
    <w:rsid w:val="00244D01"/>
    <w:rsid w:val="00246E71"/>
    <w:rsid w:val="00266F35"/>
    <w:rsid w:val="002A03B8"/>
    <w:rsid w:val="002B11C3"/>
    <w:rsid w:val="002C5126"/>
    <w:rsid w:val="002D640A"/>
    <w:rsid w:val="002E4101"/>
    <w:rsid w:val="002F1B61"/>
    <w:rsid w:val="002F1E8A"/>
    <w:rsid w:val="002F23C2"/>
    <w:rsid w:val="00305DC7"/>
    <w:rsid w:val="0033090C"/>
    <w:rsid w:val="00340D70"/>
    <w:rsid w:val="003521B3"/>
    <w:rsid w:val="003A286E"/>
    <w:rsid w:val="003C41C3"/>
    <w:rsid w:val="003E6D00"/>
    <w:rsid w:val="003E7BFA"/>
    <w:rsid w:val="003F526A"/>
    <w:rsid w:val="00401169"/>
    <w:rsid w:val="00413A3A"/>
    <w:rsid w:val="00434083"/>
    <w:rsid w:val="00464862"/>
    <w:rsid w:val="00477BA4"/>
    <w:rsid w:val="00485958"/>
    <w:rsid w:val="004A09A5"/>
    <w:rsid w:val="004A10AE"/>
    <w:rsid w:val="004F4C26"/>
    <w:rsid w:val="004F6D06"/>
    <w:rsid w:val="00504003"/>
    <w:rsid w:val="0050495F"/>
    <w:rsid w:val="00546B10"/>
    <w:rsid w:val="00560CAB"/>
    <w:rsid w:val="00566592"/>
    <w:rsid w:val="00566F7A"/>
    <w:rsid w:val="005B1B4F"/>
    <w:rsid w:val="006678F5"/>
    <w:rsid w:val="00675D1D"/>
    <w:rsid w:val="00676F94"/>
    <w:rsid w:val="006C70AF"/>
    <w:rsid w:val="006E4EBC"/>
    <w:rsid w:val="0071330F"/>
    <w:rsid w:val="0074641F"/>
    <w:rsid w:val="0074744B"/>
    <w:rsid w:val="007860E3"/>
    <w:rsid w:val="00792CAC"/>
    <w:rsid w:val="007D0BC4"/>
    <w:rsid w:val="007D446D"/>
    <w:rsid w:val="00801ACD"/>
    <w:rsid w:val="00803F09"/>
    <w:rsid w:val="0081214A"/>
    <w:rsid w:val="00812541"/>
    <w:rsid w:val="00814342"/>
    <w:rsid w:val="008200D0"/>
    <w:rsid w:val="00840583"/>
    <w:rsid w:val="008771C3"/>
    <w:rsid w:val="00890685"/>
    <w:rsid w:val="00897C8E"/>
    <w:rsid w:val="008C7874"/>
    <w:rsid w:val="008D5E78"/>
    <w:rsid w:val="008E626B"/>
    <w:rsid w:val="00903807"/>
    <w:rsid w:val="00905536"/>
    <w:rsid w:val="009134BB"/>
    <w:rsid w:val="00953102"/>
    <w:rsid w:val="0097650E"/>
    <w:rsid w:val="00997B4B"/>
    <w:rsid w:val="009F2C8B"/>
    <w:rsid w:val="00A05DBD"/>
    <w:rsid w:val="00A40F64"/>
    <w:rsid w:val="00A55244"/>
    <w:rsid w:val="00A606A7"/>
    <w:rsid w:val="00A7232B"/>
    <w:rsid w:val="00A83355"/>
    <w:rsid w:val="00AE43C6"/>
    <w:rsid w:val="00B332FF"/>
    <w:rsid w:val="00B40D75"/>
    <w:rsid w:val="00B65D51"/>
    <w:rsid w:val="00B66773"/>
    <w:rsid w:val="00B90219"/>
    <w:rsid w:val="00BA6E1E"/>
    <w:rsid w:val="00BB1ED9"/>
    <w:rsid w:val="00BC6712"/>
    <w:rsid w:val="00BD2A3E"/>
    <w:rsid w:val="00BE08CA"/>
    <w:rsid w:val="00BE3F0C"/>
    <w:rsid w:val="00C13EDC"/>
    <w:rsid w:val="00C26240"/>
    <w:rsid w:val="00C353ED"/>
    <w:rsid w:val="00C3554D"/>
    <w:rsid w:val="00C42CD4"/>
    <w:rsid w:val="00C46606"/>
    <w:rsid w:val="00C66D48"/>
    <w:rsid w:val="00C77EA0"/>
    <w:rsid w:val="00C90AF7"/>
    <w:rsid w:val="00C94B46"/>
    <w:rsid w:val="00CA46E5"/>
    <w:rsid w:val="00CD1641"/>
    <w:rsid w:val="00CD7B5F"/>
    <w:rsid w:val="00CE1076"/>
    <w:rsid w:val="00D173FA"/>
    <w:rsid w:val="00D3301E"/>
    <w:rsid w:val="00D467B3"/>
    <w:rsid w:val="00D6388B"/>
    <w:rsid w:val="00D73A03"/>
    <w:rsid w:val="00DD6463"/>
    <w:rsid w:val="00DE3B01"/>
    <w:rsid w:val="00DF0B1A"/>
    <w:rsid w:val="00DF12A7"/>
    <w:rsid w:val="00E1414F"/>
    <w:rsid w:val="00E56923"/>
    <w:rsid w:val="00E67EF2"/>
    <w:rsid w:val="00EA602B"/>
    <w:rsid w:val="00EC7C01"/>
    <w:rsid w:val="00EE37A8"/>
    <w:rsid w:val="00F13B60"/>
    <w:rsid w:val="00F20235"/>
    <w:rsid w:val="00F520F0"/>
    <w:rsid w:val="00F810CD"/>
    <w:rsid w:val="00F8627D"/>
    <w:rsid w:val="00FA7433"/>
    <w:rsid w:val="00FB612F"/>
    <w:rsid w:val="00FB73DC"/>
    <w:rsid w:val="00FF7C3B"/>
    <w:rsid w:val="0302603E"/>
    <w:rsid w:val="0B4E34C6"/>
    <w:rsid w:val="0F7D6A6F"/>
    <w:rsid w:val="12A6008B"/>
    <w:rsid w:val="19154173"/>
    <w:rsid w:val="1B9D2989"/>
    <w:rsid w:val="1C1E373D"/>
    <w:rsid w:val="1CAC2742"/>
    <w:rsid w:val="23452067"/>
    <w:rsid w:val="25C877ED"/>
    <w:rsid w:val="270E64D3"/>
    <w:rsid w:val="2B4E2C5C"/>
    <w:rsid w:val="387E0FDF"/>
    <w:rsid w:val="3B4A32D5"/>
    <w:rsid w:val="409C46F8"/>
    <w:rsid w:val="41065ABD"/>
    <w:rsid w:val="41D37CA5"/>
    <w:rsid w:val="4D90069B"/>
    <w:rsid w:val="4DED7064"/>
    <w:rsid w:val="583C51D2"/>
    <w:rsid w:val="5F164AC9"/>
    <w:rsid w:val="64CB053B"/>
    <w:rsid w:val="68281178"/>
    <w:rsid w:val="687436E1"/>
    <w:rsid w:val="687A681D"/>
    <w:rsid w:val="6B4F096F"/>
    <w:rsid w:val="70A64653"/>
    <w:rsid w:val="75585312"/>
    <w:rsid w:val="77C664A7"/>
    <w:rsid w:val="7E0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39D6"/>
  <w15:docId w15:val="{97AAF5CB-7416-404B-BB89-26E64464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0"/>
    <w:next w:val="a0"/>
    <w:link w:val="a9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Title"/>
    <w:basedOn w:val="a0"/>
    <w:next w:val="a0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2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1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1"/>
    <w:link w:val="a8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0"/>
    <w:next w:val="a0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1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0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0"/>
    <w:next w:val="a0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">
    <w:name w:val="标准文件_字母编号列项（一级）"/>
    <w:autoRedefine/>
    <w:qFormat/>
    <w:pPr>
      <w:numPr>
        <w:numId w:val="1"/>
      </w:numPr>
      <w:tabs>
        <w:tab w:val="left" w:pos="851"/>
      </w:tabs>
      <w:jc w:val="both"/>
    </w:pPr>
    <w:rPr>
      <w:rFonts w:ascii="宋体" w:eastAsia="宋体" w:hAnsi="Times New Roman" w:cs="Times New Roman"/>
      <w:sz w:val="21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  <w14:ligatures w14:val="none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  <w14:ligatures w14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af2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2"/>
    <w:qFormat/>
    <w:locked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10FA-1106-48F2-A76B-8A5D3D1AB6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成相翼</dc:creator>
  <cp:lastModifiedBy>刘 健南</cp:lastModifiedBy>
  <cp:revision>119</cp:revision>
  <cp:lastPrinted>2024-10-22T07:49:00Z</cp:lastPrinted>
  <dcterms:created xsi:type="dcterms:W3CDTF">2024-10-22T02:51:00Z</dcterms:created>
  <dcterms:modified xsi:type="dcterms:W3CDTF">2025-02-27T07:24:00Z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1AC7613B73A44B45BCAE4765441BC183_12</vt:lpwstr>
  </property>
</Properties>
</file>