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45496A">
      <w:pPr>
        <w:rPr>
          <w:rFonts w:ascii="Times New Roman" w:hAnsi="Times New Roman" w:eastAsia="仿宋_GB2312" w:cs="Times New Roman"/>
          <w:b/>
          <w:sz w:val="44"/>
          <w:szCs w:val="44"/>
        </w:rPr>
      </w:pPr>
    </w:p>
    <w:p w14:paraId="271E2CF8">
      <w:pPr>
        <w:rPr>
          <w:rFonts w:ascii="Times New Roman" w:hAnsi="Times New Roman" w:eastAsia="仿宋_GB2312" w:cs="Times New Roman"/>
          <w:b/>
          <w:sz w:val="44"/>
          <w:szCs w:val="44"/>
        </w:rPr>
      </w:pPr>
    </w:p>
    <w:p w14:paraId="4BAFE82E">
      <w:pPr>
        <w:jc w:val="center"/>
        <w:outlineLvl w:val="0"/>
        <w:rPr>
          <w:rFonts w:ascii="Times New Roman" w:hAnsi="Times New Roman" w:eastAsia="仿宋_GB2312" w:cs="Times New Roman"/>
          <w:b/>
          <w:sz w:val="44"/>
          <w:szCs w:val="44"/>
        </w:rPr>
      </w:pPr>
      <w:bookmarkStart w:id="0" w:name="_Toc198631433"/>
      <w:bookmarkStart w:id="1" w:name="_Toc24246"/>
      <w:bookmarkStart w:id="2" w:name="_Toc24687"/>
      <w:bookmarkStart w:id="3" w:name="_Toc17052"/>
      <w:r>
        <w:rPr>
          <w:rFonts w:hint="eastAsia" w:ascii="Times New Roman" w:hAnsi="Times New Roman" w:eastAsia="仿宋_GB2312" w:cs="Times New Roman"/>
          <w:b/>
          <w:sz w:val="44"/>
          <w:szCs w:val="44"/>
        </w:rPr>
        <w:t>电影行业标准</w:t>
      </w:r>
      <w:bookmarkEnd w:id="0"/>
      <w:bookmarkEnd w:id="1"/>
      <w:bookmarkEnd w:id="2"/>
      <w:bookmarkEnd w:id="3"/>
    </w:p>
    <w:p w14:paraId="366B0E7E">
      <w:pPr>
        <w:jc w:val="center"/>
        <w:rPr>
          <w:rFonts w:ascii="Times New Roman" w:hAnsi="Times New Roman" w:eastAsia="仿宋_GB2312" w:cs="Times New Roman"/>
          <w:b/>
          <w:sz w:val="44"/>
          <w:szCs w:val="44"/>
        </w:rPr>
      </w:pPr>
      <w:r>
        <w:rPr>
          <w:rFonts w:ascii="Times New Roman" w:hAnsi="Times New Roman" w:eastAsia="方正小标宋简体" w:cs="Times New Roman"/>
          <w:bCs/>
          <w:sz w:val="36"/>
          <w:szCs w:val="36"/>
        </w:rPr>
        <w:t>《</w:t>
      </w:r>
      <w:r>
        <w:rPr>
          <w:rFonts w:hint="eastAsia" w:ascii="Times New Roman" w:hAnsi="Times New Roman" w:eastAsia="方正小标宋简体" w:cs="Times New Roman"/>
          <w:bCs/>
          <w:sz w:val="36"/>
          <w:szCs w:val="36"/>
        </w:rPr>
        <w:t>数字影院LED放映发行母版和数据包技术规范</w:t>
      </w:r>
      <w:r>
        <w:rPr>
          <w:rFonts w:ascii="Times New Roman" w:hAnsi="Times New Roman" w:eastAsia="方正小标宋简体" w:cs="Times New Roman"/>
          <w:bCs/>
          <w:sz w:val="36"/>
          <w:szCs w:val="36"/>
        </w:rPr>
        <w:t>》</w:t>
      </w:r>
    </w:p>
    <w:p w14:paraId="4417D330">
      <w:pPr>
        <w:jc w:val="center"/>
        <w:rPr>
          <w:rFonts w:ascii="Times New Roman" w:hAnsi="Times New Roman" w:eastAsia="黑体" w:cs="Times New Roman"/>
          <w:bCs/>
          <w:sz w:val="52"/>
          <w:szCs w:val="52"/>
        </w:rPr>
      </w:pPr>
      <w:r>
        <w:rPr>
          <w:rFonts w:ascii="Times New Roman" w:hAnsi="Times New Roman" w:eastAsia="黑体" w:cs="Times New Roman"/>
          <w:bCs/>
          <w:sz w:val="52"/>
          <w:szCs w:val="52"/>
        </w:rPr>
        <w:t>编制说明</w:t>
      </w:r>
    </w:p>
    <w:p w14:paraId="610DA2FD">
      <w:pPr>
        <w:jc w:val="center"/>
        <w:rPr>
          <w:rFonts w:ascii="Times New Roman" w:hAnsi="Times New Roman" w:eastAsia="仿宋" w:cs="Times New Roman"/>
          <w:bCs/>
          <w:sz w:val="32"/>
          <w:szCs w:val="32"/>
        </w:rPr>
      </w:pPr>
      <w:r>
        <w:rPr>
          <w:rFonts w:ascii="Times New Roman" w:hAnsi="Times New Roman" w:eastAsia="仿宋" w:cs="Times New Roman"/>
          <w:bCs/>
          <w:sz w:val="32"/>
          <w:szCs w:val="32"/>
        </w:rPr>
        <w:t>（</w:t>
      </w:r>
      <w:r>
        <w:rPr>
          <w:rFonts w:hint="eastAsia" w:ascii="Times New Roman" w:hAnsi="Times New Roman" w:eastAsia="仿宋" w:cs="Times New Roman"/>
          <w:bCs/>
          <w:sz w:val="32"/>
          <w:szCs w:val="32"/>
          <w:lang w:eastAsia="zh-CN"/>
        </w:rPr>
        <w:t>□</w:t>
      </w:r>
      <w:r>
        <w:rPr>
          <w:rFonts w:hint="eastAsia" w:ascii="Times New Roman" w:hAnsi="Times New Roman" w:eastAsia="仿宋" w:cs="Times New Roman"/>
          <w:bCs/>
          <w:sz w:val="32"/>
          <w:szCs w:val="32"/>
        </w:rPr>
        <w:t>工作组讨论稿</w:t>
      </w:r>
      <w:r>
        <w:rPr>
          <w:rFonts w:hint="eastAsia" w:ascii="Times New Roman" w:hAnsi="Times New Roman" w:eastAsia="仿宋" w:cs="Times New Roman"/>
          <w:bCs/>
          <w:sz w:val="32"/>
          <w:szCs w:val="32"/>
          <w:lang w:eastAsia="zh-CN"/>
        </w:rPr>
        <w:t>☑</w:t>
      </w:r>
      <w:r>
        <w:rPr>
          <w:rFonts w:ascii="Times New Roman" w:hAnsi="Times New Roman" w:eastAsia="仿宋" w:cs="Times New Roman"/>
          <w:bCs/>
          <w:sz w:val="32"/>
          <w:szCs w:val="32"/>
        </w:rPr>
        <w:t>征求意见稿</w:t>
      </w:r>
      <w:r>
        <w:rPr>
          <w:rFonts w:hint="eastAsia" w:ascii="Times New Roman" w:hAnsi="Times New Roman" w:eastAsia="仿宋" w:cs="Times New Roman"/>
          <w:bCs/>
          <w:sz w:val="32"/>
          <w:szCs w:val="32"/>
        </w:rPr>
        <w:t>□</w:t>
      </w:r>
      <w:r>
        <w:rPr>
          <w:rFonts w:ascii="Times New Roman" w:hAnsi="Times New Roman" w:eastAsia="仿宋" w:cs="Times New Roman"/>
          <w:bCs/>
          <w:sz w:val="32"/>
          <w:szCs w:val="32"/>
        </w:rPr>
        <w:t>送审稿</w:t>
      </w:r>
      <w:r>
        <w:rPr>
          <w:rFonts w:hint="eastAsia" w:ascii="Times New Roman" w:hAnsi="Times New Roman" w:eastAsia="仿宋" w:cs="Times New Roman"/>
          <w:bCs/>
          <w:sz w:val="32"/>
          <w:szCs w:val="32"/>
        </w:rPr>
        <w:t>□</w:t>
      </w:r>
      <w:r>
        <w:rPr>
          <w:rFonts w:ascii="Times New Roman" w:hAnsi="Times New Roman" w:eastAsia="仿宋" w:cs="Times New Roman"/>
          <w:bCs/>
          <w:sz w:val="32"/>
          <w:szCs w:val="32"/>
        </w:rPr>
        <w:t>报批稿）</w:t>
      </w:r>
    </w:p>
    <w:p w14:paraId="6332B9D8">
      <w:pPr>
        <w:jc w:val="center"/>
        <w:rPr>
          <w:rFonts w:ascii="Times New Roman" w:hAnsi="Times New Roman" w:eastAsia="黑体" w:cs="Times New Roman"/>
          <w:bCs/>
          <w:sz w:val="52"/>
          <w:szCs w:val="52"/>
        </w:rPr>
      </w:pPr>
    </w:p>
    <w:p w14:paraId="2C108FED">
      <w:pPr>
        <w:rPr>
          <w:rFonts w:ascii="Times New Roman" w:hAnsi="Times New Roman" w:eastAsia="仿宋_GB2312" w:cs="Times New Roman"/>
          <w:b/>
          <w:sz w:val="44"/>
          <w:szCs w:val="44"/>
        </w:rPr>
      </w:pPr>
    </w:p>
    <w:p w14:paraId="126E45A0">
      <w:pPr>
        <w:rPr>
          <w:rFonts w:ascii="Times New Roman" w:hAnsi="Times New Roman" w:eastAsia="仿宋_GB2312" w:cs="Times New Roman"/>
          <w:b/>
          <w:sz w:val="44"/>
          <w:szCs w:val="44"/>
        </w:rPr>
      </w:pPr>
    </w:p>
    <w:p w14:paraId="2B71CC64">
      <w:pPr>
        <w:rPr>
          <w:rFonts w:ascii="Times New Roman" w:hAnsi="Times New Roman" w:eastAsia="仿宋_GB2312" w:cs="Times New Roman"/>
          <w:b/>
          <w:sz w:val="44"/>
          <w:szCs w:val="44"/>
        </w:rPr>
      </w:pPr>
    </w:p>
    <w:p w14:paraId="47BAD3D2">
      <w:pPr>
        <w:rPr>
          <w:rFonts w:ascii="Times New Roman" w:hAnsi="Times New Roman" w:eastAsia="仿宋_GB2312" w:cs="Times New Roman"/>
          <w:b/>
          <w:sz w:val="44"/>
          <w:szCs w:val="44"/>
        </w:rPr>
      </w:pPr>
    </w:p>
    <w:p w14:paraId="655D01AB">
      <w:pPr>
        <w:rPr>
          <w:rFonts w:ascii="Times New Roman" w:hAnsi="Times New Roman" w:eastAsia="仿宋_GB2312" w:cs="Times New Roman"/>
          <w:b/>
          <w:sz w:val="44"/>
          <w:szCs w:val="44"/>
        </w:rPr>
      </w:pPr>
    </w:p>
    <w:p w14:paraId="3C15E9EB">
      <w:pPr>
        <w:rPr>
          <w:rFonts w:ascii="Times New Roman" w:hAnsi="Times New Roman" w:eastAsia="仿宋_GB2312" w:cs="Times New Roman"/>
          <w:b/>
          <w:sz w:val="44"/>
          <w:szCs w:val="44"/>
        </w:rPr>
      </w:pPr>
    </w:p>
    <w:p w14:paraId="2FBBAC52">
      <w:pPr>
        <w:rPr>
          <w:rFonts w:ascii="Times New Roman" w:hAnsi="Times New Roman" w:eastAsia="仿宋_GB2312" w:cs="Times New Roman"/>
          <w:b/>
          <w:sz w:val="44"/>
          <w:szCs w:val="44"/>
        </w:rPr>
      </w:pPr>
    </w:p>
    <w:p w14:paraId="4DCE985C">
      <w:pPr>
        <w:rPr>
          <w:rFonts w:ascii="Times New Roman" w:hAnsi="Times New Roman" w:eastAsia="仿宋_GB2312" w:cs="Times New Roman"/>
          <w:b/>
          <w:sz w:val="44"/>
          <w:szCs w:val="44"/>
        </w:rPr>
      </w:pPr>
    </w:p>
    <w:p w14:paraId="09B7E1B5">
      <w:pPr>
        <w:jc w:val="center"/>
        <w:rPr>
          <w:rFonts w:ascii="Times New Roman" w:hAnsi="Times New Roman" w:eastAsia="仿宋" w:cs="Times New Roman"/>
          <w:bCs/>
          <w:sz w:val="32"/>
          <w:szCs w:val="32"/>
        </w:rPr>
      </w:pPr>
      <w:r>
        <w:rPr>
          <w:rFonts w:ascii="Times New Roman" w:hAnsi="Times New Roman" w:eastAsia="仿宋" w:cs="Times New Roman"/>
          <w:bCs/>
          <w:sz w:val="32"/>
          <w:szCs w:val="32"/>
        </w:rPr>
        <w:t>标准编制组</w:t>
      </w:r>
    </w:p>
    <w:p w14:paraId="5D38BAD9">
      <w:pPr>
        <w:jc w:val="center"/>
        <w:rPr>
          <w:rFonts w:ascii="Times New Roman" w:hAnsi="Times New Roman" w:eastAsia="宋体" w:cs="Times New Roman"/>
          <w:bCs/>
          <w:sz w:val="32"/>
          <w:szCs w:val="32"/>
        </w:rPr>
        <w:sectPr>
          <w:footerReference r:id="rId3" w:type="default"/>
          <w:pgSz w:w="11906" w:h="16838"/>
          <w:pgMar w:top="1701" w:right="1588" w:bottom="1701" w:left="1588" w:header="851" w:footer="992" w:gutter="0"/>
          <w:cols w:space="425" w:num="1"/>
          <w:titlePg/>
          <w:docGrid w:type="lines" w:linePitch="312" w:charSpace="0"/>
        </w:sectPr>
      </w:pPr>
      <w:r>
        <w:rPr>
          <w:rFonts w:ascii="Times New Roman" w:hAnsi="Times New Roman" w:eastAsia="宋体" w:cs="Times New Roman"/>
          <w:bCs/>
          <w:sz w:val="32"/>
          <w:szCs w:val="32"/>
        </w:rPr>
        <w:t>202</w:t>
      </w:r>
      <w:r>
        <w:rPr>
          <w:rFonts w:hint="eastAsia" w:ascii="Times New Roman" w:hAnsi="Times New Roman" w:eastAsia="宋体" w:cs="Times New Roman"/>
          <w:bCs/>
          <w:sz w:val="32"/>
          <w:szCs w:val="32"/>
        </w:rPr>
        <w:t>5</w:t>
      </w:r>
      <w:r>
        <w:rPr>
          <w:rFonts w:ascii="Times New Roman" w:hAnsi="Times New Roman" w:eastAsia="宋体" w:cs="Times New Roman"/>
          <w:bCs/>
          <w:sz w:val="32"/>
          <w:szCs w:val="32"/>
        </w:rPr>
        <w:t>年</w:t>
      </w:r>
      <w:r>
        <w:rPr>
          <w:rFonts w:hint="eastAsia" w:ascii="Times New Roman" w:hAnsi="Times New Roman" w:eastAsia="宋体" w:cs="Times New Roman"/>
          <w:bCs/>
          <w:sz w:val="32"/>
          <w:szCs w:val="32"/>
          <w:lang w:val="en-US" w:eastAsia="zh-CN"/>
        </w:rPr>
        <w:t>7</w:t>
      </w:r>
      <w:r>
        <w:rPr>
          <w:rFonts w:ascii="Times New Roman" w:hAnsi="Times New Roman" w:eastAsia="宋体" w:cs="Times New Roman"/>
          <w:bCs/>
          <w:sz w:val="32"/>
          <w:szCs w:val="32"/>
        </w:rPr>
        <w:t>月</w:t>
      </w:r>
      <w:r>
        <w:rPr>
          <w:rFonts w:hint="eastAsia" w:ascii="Times New Roman" w:hAnsi="Times New Roman" w:eastAsia="宋体" w:cs="Times New Roman"/>
          <w:bCs/>
          <w:sz w:val="32"/>
          <w:szCs w:val="32"/>
          <w:lang w:val="en-US" w:eastAsia="zh-CN"/>
        </w:rPr>
        <w:t>28</w:t>
      </w:r>
      <w:r>
        <w:rPr>
          <w:rFonts w:ascii="Times New Roman" w:hAnsi="Times New Roman" w:eastAsia="宋体" w:cs="Times New Roman"/>
          <w:bCs/>
          <w:sz w:val="32"/>
          <w:szCs w:val="32"/>
        </w:rPr>
        <w:t>日</w:t>
      </w:r>
    </w:p>
    <w:sdt>
      <w:sdtPr>
        <w:rPr>
          <w:rFonts w:ascii="宋体" w:hAnsi="宋体" w:eastAsia="宋体"/>
          <w:b/>
          <w:bCs/>
          <w:sz w:val="28"/>
          <w:szCs w:val="28"/>
        </w:rPr>
        <w:id w:val="147482698"/>
        <w15:color w:val="DBDBDB"/>
        <w:docPartObj>
          <w:docPartGallery w:val="Table of Contents"/>
          <w:docPartUnique/>
        </w:docPartObj>
      </w:sdtPr>
      <w:sdtEndPr>
        <w:rPr>
          <w:rFonts w:ascii="宋体" w:hAnsi="宋体" w:eastAsia="宋体"/>
          <w:b/>
          <w:bCs/>
          <w:sz w:val="28"/>
          <w:szCs w:val="28"/>
        </w:rPr>
      </w:sdtEndPr>
      <w:sdtContent>
        <w:p w14:paraId="25B4BE14">
          <w:pPr>
            <w:jc w:val="center"/>
            <w:rPr>
              <w:rFonts w:hint="eastAsia"/>
              <w:b/>
              <w:bCs/>
              <w:sz w:val="28"/>
              <w:szCs w:val="28"/>
            </w:rPr>
          </w:pPr>
          <w:r>
            <w:rPr>
              <w:rFonts w:ascii="宋体" w:hAnsi="宋体" w:eastAsia="宋体"/>
              <w:b/>
              <w:bCs/>
              <w:sz w:val="28"/>
              <w:szCs w:val="28"/>
            </w:rPr>
            <w:t>目录</w:t>
          </w:r>
        </w:p>
        <w:p w14:paraId="042FC149">
          <w:pPr>
            <w:pStyle w:val="14"/>
            <w:tabs>
              <w:tab w:val="right" w:leader="dot" w:pos="8844"/>
            </w:tabs>
          </w:pPr>
          <w:r>
            <w:rPr>
              <w:szCs w:val="21"/>
            </w:rPr>
            <w:fldChar w:fldCharType="begin"/>
          </w:r>
          <w:r>
            <w:rPr>
              <w:szCs w:val="21"/>
            </w:rPr>
            <w:instrText xml:space="preserve">TOC \o "1-2" \h \u </w:instrText>
          </w:r>
          <w:r>
            <w:rPr>
              <w:szCs w:val="21"/>
            </w:rPr>
            <w:fldChar w:fldCharType="separate"/>
          </w:r>
        </w:p>
        <w:p w14:paraId="5F3A0E00">
          <w:pPr>
            <w:pStyle w:val="14"/>
            <w:tabs>
              <w:tab w:val="right" w:leader="dot" w:pos="8844"/>
            </w:tabs>
          </w:pPr>
          <w:r>
            <w:rPr>
              <w:szCs w:val="21"/>
            </w:rPr>
            <w:fldChar w:fldCharType="begin"/>
          </w:r>
          <w:r>
            <w:rPr>
              <w:szCs w:val="21"/>
            </w:rPr>
            <w:instrText xml:space="preserve"> HYPERLINK \l _Toc11541 </w:instrText>
          </w:r>
          <w:r>
            <w:rPr>
              <w:szCs w:val="21"/>
            </w:rPr>
            <w:fldChar w:fldCharType="separate"/>
          </w:r>
          <w:r>
            <w:rPr>
              <w:rFonts w:hint="eastAsia" w:ascii="Times New Roman" w:hAnsi="Times New Roman" w:eastAsia="黑体" w:cs="Times New Roman"/>
              <w:bCs/>
              <w:szCs w:val="24"/>
            </w:rPr>
            <w:t>一、 工作简况</w:t>
          </w:r>
          <w:r>
            <w:tab/>
          </w:r>
          <w:r>
            <w:fldChar w:fldCharType="begin"/>
          </w:r>
          <w:r>
            <w:instrText xml:space="preserve"> PAGEREF _Toc11541 \h </w:instrText>
          </w:r>
          <w:r>
            <w:fldChar w:fldCharType="separate"/>
          </w:r>
          <w:r>
            <w:t>- 2 -</w:t>
          </w:r>
          <w:r>
            <w:fldChar w:fldCharType="end"/>
          </w:r>
          <w:r>
            <w:rPr>
              <w:szCs w:val="21"/>
            </w:rPr>
            <w:fldChar w:fldCharType="end"/>
          </w:r>
        </w:p>
        <w:p w14:paraId="6AAA1D0A">
          <w:pPr>
            <w:pStyle w:val="16"/>
            <w:tabs>
              <w:tab w:val="right" w:leader="dot" w:pos="8844"/>
            </w:tabs>
          </w:pPr>
          <w:r>
            <w:rPr>
              <w:szCs w:val="21"/>
            </w:rPr>
            <w:fldChar w:fldCharType="begin"/>
          </w:r>
          <w:r>
            <w:rPr>
              <w:szCs w:val="21"/>
            </w:rPr>
            <w:instrText xml:space="preserve"> HYPERLINK \l _Toc10256 </w:instrText>
          </w:r>
          <w:r>
            <w:rPr>
              <w:szCs w:val="21"/>
            </w:rPr>
            <w:fldChar w:fldCharType="separate"/>
          </w:r>
          <w:r>
            <w:rPr>
              <w:rFonts w:hint="eastAsia" w:ascii="Times New Roman" w:hAnsi="Times New Roman" w:eastAsia="宋体" w:cs="Times New Roman"/>
              <w:bCs/>
              <w:szCs w:val="24"/>
            </w:rPr>
            <w:t>（一） 任务来源</w:t>
          </w:r>
          <w:r>
            <w:tab/>
          </w:r>
          <w:r>
            <w:fldChar w:fldCharType="begin"/>
          </w:r>
          <w:r>
            <w:instrText xml:space="preserve"> PAGEREF _Toc10256 \h </w:instrText>
          </w:r>
          <w:r>
            <w:fldChar w:fldCharType="separate"/>
          </w:r>
          <w:r>
            <w:t>- 2 -</w:t>
          </w:r>
          <w:r>
            <w:fldChar w:fldCharType="end"/>
          </w:r>
          <w:r>
            <w:rPr>
              <w:szCs w:val="21"/>
            </w:rPr>
            <w:fldChar w:fldCharType="end"/>
          </w:r>
        </w:p>
        <w:p w14:paraId="021E59AF">
          <w:pPr>
            <w:pStyle w:val="16"/>
            <w:tabs>
              <w:tab w:val="right" w:leader="dot" w:pos="8844"/>
            </w:tabs>
          </w:pPr>
          <w:r>
            <w:rPr>
              <w:szCs w:val="21"/>
            </w:rPr>
            <w:fldChar w:fldCharType="begin"/>
          </w:r>
          <w:r>
            <w:rPr>
              <w:szCs w:val="21"/>
            </w:rPr>
            <w:instrText xml:space="preserve"> HYPERLINK \l _Toc32695 </w:instrText>
          </w:r>
          <w:r>
            <w:rPr>
              <w:szCs w:val="21"/>
            </w:rPr>
            <w:fldChar w:fldCharType="separate"/>
          </w:r>
          <w:r>
            <w:rPr>
              <w:rFonts w:hint="eastAsia" w:ascii="Times New Roman" w:hAnsi="Times New Roman" w:eastAsia="宋体" w:cs="Times New Roman"/>
              <w:bCs/>
              <w:szCs w:val="24"/>
            </w:rPr>
            <w:t>（二） 制定背景、目的及意义</w:t>
          </w:r>
          <w:r>
            <w:tab/>
          </w:r>
          <w:r>
            <w:fldChar w:fldCharType="begin"/>
          </w:r>
          <w:r>
            <w:instrText xml:space="preserve"> PAGEREF _Toc32695 \h </w:instrText>
          </w:r>
          <w:r>
            <w:fldChar w:fldCharType="separate"/>
          </w:r>
          <w:r>
            <w:t>- 2 -</w:t>
          </w:r>
          <w:r>
            <w:fldChar w:fldCharType="end"/>
          </w:r>
          <w:r>
            <w:rPr>
              <w:szCs w:val="21"/>
            </w:rPr>
            <w:fldChar w:fldCharType="end"/>
          </w:r>
        </w:p>
        <w:p w14:paraId="760BEE58">
          <w:pPr>
            <w:pStyle w:val="16"/>
            <w:tabs>
              <w:tab w:val="right" w:leader="dot" w:pos="8844"/>
            </w:tabs>
          </w:pPr>
          <w:r>
            <w:rPr>
              <w:szCs w:val="21"/>
            </w:rPr>
            <w:fldChar w:fldCharType="begin"/>
          </w:r>
          <w:r>
            <w:rPr>
              <w:szCs w:val="21"/>
            </w:rPr>
            <w:instrText xml:space="preserve"> HYPERLINK \l _Toc11759 </w:instrText>
          </w:r>
          <w:r>
            <w:rPr>
              <w:szCs w:val="21"/>
            </w:rPr>
            <w:fldChar w:fldCharType="separate"/>
          </w:r>
          <w:r>
            <w:rPr>
              <w:rFonts w:hint="eastAsia" w:ascii="Times New Roman" w:hAnsi="Times New Roman" w:eastAsia="宋体" w:cs="Times New Roman"/>
              <w:bCs/>
              <w:szCs w:val="24"/>
            </w:rPr>
            <w:t>（三） 主要起草单位、参与单位及其分工</w:t>
          </w:r>
          <w:r>
            <w:tab/>
          </w:r>
          <w:r>
            <w:fldChar w:fldCharType="begin"/>
          </w:r>
          <w:r>
            <w:instrText xml:space="preserve"> PAGEREF _Toc11759 \h </w:instrText>
          </w:r>
          <w:r>
            <w:fldChar w:fldCharType="separate"/>
          </w:r>
          <w:r>
            <w:t>- 2 -</w:t>
          </w:r>
          <w:r>
            <w:fldChar w:fldCharType="end"/>
          </w:r>
          <w:r>
            <w:rPr>
              <w:szCs w:val="21"/>
            </w:rPr>
            <w:fldChar w:fldCharType="end"/>
          </w:r>
        </w:p>
        <w:p w14:paraId="21293257">
          <w:pPr>
            <w:pStyle w:val="16"/>
            <w:tabs>
              <w:tab w:val="right" w:leader="dot" w:pos="8844"/>
            </w:tabs>
          </w:pPr>
          <w:r>
            <w:rPr>
              <w:szCs w:val="21"/>
            </w:rPr>
            <w:fldChar w:fldCharType="begin"/>
          </w:r>
          <w:r>
            <w:rPr>
              <w:szCs w:val="21"/>
            </w:rPr>
            <w:instrText xml:space="preserve"> HYPERLINK \l _Toc5877 </w:instrText>
          </w:r>
          <w:r>
            <w:rPr>
              <w:szCs w:val="21"/>
            </w:rPr>
            <w:fldChar w:fldCharType="separate"/>
          </w:r>
          <w:r>
            <w:rPr>
              <w:rFonts w:hint="eastAsia" w:ascii="Times New Roman" w:hAnsi="Times New Roman" w:eastAsia="宋体" w:cs="Times New Roman"/>
              <w:bCs/>
              <w:szCs w:val="24"/>
            </w:rPr>
            <w:t>（四） 主要起草人及其分工工作</w:t>
          </w:r>
          <w:r>
            <w:tab/>
          </w:r>
          <w:r>
            <w:fldChar w:fldCharType="begin"/>
          </w:r>
          <w:r>
            <w:instrText xml:space="preserve"> PAGEREF _Toc5877 \h </w:instrText>
          </w:r>
          <w:r>
            <w:fldChar w:fldCharType="separate"/>
          </w:r>
          <w:r>
            <w:t>- 2 -</w:t>
          </w:r>
          <w:r>
            <w:fldChar w:fldCharType="end"/>
          </w:r>
          <w:r>
            <w:rPr>
              <w:szCs w:val="21"/>
            </w:rPr>
            <w:fldChar w:fldCharType="end"/>
          </w:r>
        </w:p>
        <w:p w14:paraId="5FF32DA6">
          <w:pPr>
            <w:pStyle w:val="16"/>
            <w:tabs>
              <w:tab w:val="right" w:leader="dot" w:pos="8844"/>
            </w:tabs>
          </w:pPr>
          <w:r>
            <w:rPr>
              <w:szCs w:val="21"/>
            </w:rPr>
            <w:fldChar w:fldCharType="begin"/>
          </w:r>
          <w:r>
            <w:rPr>
              <w:szCs w:val="21"/>
            </w:rPr>
            <w:instrText xml:space="preserve"> HYPERLINK \l _Toc1860 </w:instrText>
          </w:r>
          <w:r>
            <w:rPr>
              <w:szCs w:val="21"/>
            </w:rPr>
            <w:fldChar w:fldCharType="separate"/>
          </w:r>
          <w:r>
            <w:rPr>
              <w:rFonts w:hint="eastAsia" w:ascii="Times New Roman" w:hAnsi="Times New Roman" w:eastAsia="宋体" w:cs="Times New Roman"/>
              <w:bCs/>
              <w:szCs w:val="24"/>
            </w:rPr>
            <w:t>（五） 主要工作过程</w:t>
          </w:r>
          <w:r>
            <w:tab/>
          </w:r>
          <w:r>
            <w:fldChar w:fldCharType="begin"/>
          </w:r>
          <w:r>
            <w:instrText xml:space="preserve"> PAGEREF _Toc1860 \h </w:instrText>
          </w:r>
          <w:r>
            <w:fldChar w:fldCharType="separate"/>
          </w:r>
          <w:r>
            <w:t>- 3 -</w:t>
          </w:r>
          <w:r>
            <w:fldChar w:fldCharType="end"/>
          </w:r>
          <w:r>
            <w:rPr>
              <w:szCs w:val="21"/>
            </w:rPr>
            <w:fldChar w:fldCharType="end"/>
          </w:r>
        </w:p>
        <w:p w14:paraId="23B90816">
          <w:pPr>
            <w:pStyle w:val="14"/>
            <w:tabs>
              <w:tab w:val="right" w:leader="dot" w:pos="8844"/>
            </w:tabs>
          </w:pPr>
          <w:r>
            <w:rPr>
              <w:szCs w:val="21"/>
            </w:rPr>
            <w:fldChar w:fldCharType="begin"/>
          </w:r>
          <w:r>
            <w:rPr>
              <w:szCs w:val="21"/>
            </w:rPr>
            <w:instrText xml:space="preserve"> HYPERLINK \l _Toc24797 </w:instrText>
          </w:r>
          <w:r>
            <w:rPr>
              <w:szCs w:val="21"/>
            </w:rPr>
            <w:fldChar w:fldCharType="separate"/>
          </w:r>
          <w:r>
            <w:rPr>
              <w:rFonts w:hint="eastAsia" w:ascii="Times New Roman" w:hAnsi="Times New Roman" w:eastAsia="黑体" w:cs="Times New Roman"/>
              <w:bCs/>
              <w:szCs w:val="24"/>
            </w:rPr>
            <w:t>二、 标准编制原则、主要技术内容及其确定依据</w:t>
          </w:r>
          <w:r>
            <w:tab/>
          </w:r>
          <w:r>
            <w:fldChar w:fldCharType="begin"/>
          </w:r>
          <w:r>
            <w:instrText xml:space="preserve"> PAGEREF _Toc24797 \h </w:instrText>
          </w:r>
          <w:r>
            <w:fldChar w:fldCharType="separate"/>
          </w:r>
          <w:r>
            <w:t>- 4 -</w:t>
          </w:r>
          <w:r>
            <w:fldChar w:fldCharType="end"/>
          </w:r>
          <w:r>
            <w:rPr>
              <w:szCs w:val="21"/>
            </w:rPr>
            <w:fldChar w:fldCharType="end"/>
          </w:r>
        </w:p>
        <w:p w14:paraId="48024903">
          <w:pPr>
            <w:pStyle w:val="16"/>
            <w:tabs>
              <w:tab w:val="right" w:leader="dot" w:pos="8844"/>
            </w:tabs>
          </w:pPr>
          <w:r>
            <w:rPr>
              <w:szCs w:val="21"/>
            </w:rPr>
            <w:fldChar w:fldCharType="begin"/>
          </w:r>
          <w:r>
            <w:rPr>
              <w:szCs w:val="21"/>
            </w:rPr>
            <w:instrText xml:space="preserve"> HYPERLINK \l _Toc3698 </w:instrText>
          </w:r>
          <w:r>
            <w:rPr>
              <w:szCs w:val="21"/>
            </w:rPr>
            <w:fldChar w:fldCharType="separate"/>
          </w:r>
          <w:r>
            <w:rPr>
              <w:rFonts w:hint="eastAsia" w:ascii="Times New Roman" w:hAnsi="Times New Roman" w:eastAsia="宋体" w:cs="Times New Roman"/>
              <w:bCs/>
              <w:szCs w:val="24"/>
            </w:rPr>
            <w:t>（一） 标准编制原则</w:t>
          </w:r>
          <w:r>
            <w:tab/>
          </w:r>
          <w:r>
            <w:fldChar w:fldCharType="begin"/>
          </w:r>
          <w:r>
            <w:instrText xml:space="preserve"> PAGEREF _Toc3698 \h </w:instrText>
          </w:r>
          <w:r>
            <w:fldChar w:fldCharType="separate"/>
          </w:r>
          <w:r>
            <w:t>- 4 -</w:t>
          </w:r>
          <w:r>
            <w:fldChar w:fldCharType="end"/>
          </w:r>
          <w:r>
            <w:rPr>
              <w:szCs w:val="21"/>
            </w:rPr>
            <w:fldChar w:fldCharType="end"/>
          </w:r>
        </w:p>
        <w:p w14:paraId="573A264C">
          <w:pPr>
            <w:pStyle w:val="16"/>
            <w:tabs>
              <w:tab w:val="right" w:leader="dot" w:pos="8844"/>
            </w:tabs>
          </w:pPr>
          <w:r>
            <w:rPr>
              <w:szCs w:val="21"/>
            </w:rPr>
            <w:fldChar w:fldCharType="begin"/>
          </w:r>
          <w:r>
            <w:rPr>
              <w:szCs w:val="21"/>
            </w:rPr>
            <w:instrText xml:space="preserve"> HYPERLINK \l _Toc26822 </w:instrText>
          </w:r>
          <w:r>
            <w:rPr>
              <w:szCs w:val="21"/>
            </w:rPr>
            <w:fldChar w:fldCharType="separate"/>
          </w:r>
          <w:r>
            <w:rPr>
              <w:rFonts w:hint="eastAsia" w:ascii="Times New Roman" w:hAnsi="Times New Roman" w:eastAsia="宋体" w:cs="Times New Roman"/>
              <w:bCs/>
              <w:szCs w:val="24"/>
            </w:rPr>
            <w:t>（二） 主要技术内容及其确定依据</w:t>
          </w:r>
          <w:r>
            <w:tab/>
          </w:r>
          <w:r>
            <w:fldChar w:fldCharType="begin"/>
          </w:r>
          <w:r>
            <w:instrText xml:space="preserve"> PAGEREF _Toc26822 \h </w:instrText>
          </w:r>
          <w:r>
            <w:fldChar w:fldCharType="separate"/>
          </w:r>
          <w:r>
            <w:t>- 5 -</w:t>
          </w:r>
          <w:r>
            <w:fldChar w:fldCharType="end"/>
          </w:r>
          <w:r>
            <w:rPr>
              <w:szCs w:val="21"/>
            </w:rPr>
            <w:fldChar w:fldCharType="end"/>
          </w:r>
        </w:p>
        <w:p w14:paraId="0D6B40B5">
          <w:pPr>
            <w:pStyle w:val="14"/>
            <w:tabs>
              <w:tab w:val="right" w:leader="dot" w:pos="8844"/>
            </w:tabs>
          </w:pPr>
          <w:r>
            <w:rPr>
              <w:szCs w:val="21"/>
            </w:rPr>
            <w:fldChar w:fldCharType="begin"/>
          </w:r>
          <w:r>
            <w:rPr>
              <w:szCs w:val="21"/>
            </w:rPr>
            <w:instrText xml:space="preserve"> HYPERLINK \l _Toc14847 </w:instrText>
          </w:r>
          <w:r>
            <w:rPr>
              <w:szCs w:val="21"/>
            </w:rPr>
            <w:fldChar w:fldCharType="separate"/>
          </w:r>
          <w:r>
            <w:rPr>
              <w:rFonts w:hint="eastAsia" w:ascii="Times New Roman" w:hAnsi="Times New Roman" w:eastAsia="黑体" w:cs="Times New Roman"/>
              <w:bCs/>
              <w:szCs w:val="24"/>
            </w:rPr>
            <w:t>三、 主要调研、试验验证分析和技术经济论证</w:t>
          </w:r>
          <w:r>
            <w:tab/>
          </w:r>
          <w:r>
            <w:fldChar w:fldCharType="begin"/>
          </w:r>
          <w:r>
            <w:instrText xml:space="preserve"> PAGEREF _Toc14847 \h </w:instrText>
          </w:r>
          <w:r>
            <w:fldChar w:fldCharType="separate"/>
          </w:r>
          <w:r>
            <w:t>- 6 -</w:t>
          </w:r>
          <w:r>
            <w:fldChar w:fldCharType="end"/>
          </w:r>
          <w:r>
            <w:rPr>
              <w:szCs w:val="21"/>
            </w:rPr>
            <w:fldChar w:fldCharType="end"/>
          </w:r>
        </w:p>
        <w:p w14:paraId="45E92E7B">
          <w:pPr>
            <w:pStyle w:val="16"/>
            <w:tabs>
              <w:tab w:val="right" w:leader="dot" w:pos="8844"/>
            </w:tabs>
          </w:pPr>
          <w:r>
            <w:rPr>
              <w:szCs w:val="21"/>
            </w:rPr>
            <w:fldChar w:fldCharType="begin"/>
          </w:r>
          <w:r>
            <w:rPr>
              <w:szCs w:val="21"/>
            </w:rPr>
            <w:instrText xml:space="preserve"> HYPERLINK \l _Toc18790 </w:instrText>
          </w:r>
          <w:r>
            <w:rPr>
              <w:szCs w:val="21"/>
            </w:rPr>
            <w:fldChar w:fldCharType="separate"/>
          </w:r>
          <w:r>
            <w:rPr>
              <w:rFonts w:hint="eastAsia" w:ascii="Times New Roman" w:hAnsi="Times New Roman" w:eastAsia="宋体" w:cs="Times New Roman"/>
              <w:bCs/>
              <w:szCs w:val="24"/>
            </w:rPr>
            <w:t>（一） 调研分析报告</w:t>
          </w:r>
          <w:r>
            <w:tab/>
          </w:r>
          <w:r>
            <w:fldChar w:fldCharType="begin"/>
          </w:r>
          <w:r>
            <w:instrText xml:space="preserve"> PAGEREF _Toc18790 \h </w:instrText>
          </w:r>
          <w:r>
            <w:fldChar w:fldCharType="separate"/>
          </w:r>
          <w:r>
            <w:t>- 6 -</w:t>
          </w:r>
          <w:r>
            <w:fldChar w:fldCharType="end"/>
          </w:r>
          <w:r>
            <w:rPr>
              <w:szCs w:val="21"/>
            </w:rPr>
            <w:fldChar w:fldCharType="end"/>
          </w:r>
        </w:p>
        <w:p w14:paraId="57948F49">
          <w:pPr>
            <w:pStyle w:val="16"/>
            <w:tabs>
              <w:tab w:val="right" w:leader="dot" w:pos="8844"/>
            </w:tabs>
          </w:pPr>
          <w:r>
            <w:rPr>
              <w:szCs w:val="21"/>
            </w:rPr>
            <w:fldChar w:fldCharType="begin"/>
          </w:r>
          <w:r>
            <w:rPr>
              <w:szCs w:val="21"/>
            </w:rPr>
            <w:instrText xml:space="preserve"> HYPERLINK \l _Toc26349 </w:instrText>
          </w:r>
          <w:r>
            <w:rPr>
              <w:szCs w:val="21"/>
            </w:rPr>
            <w:fldChar w:fldCharType="separate"/>
          </w:r>
          <w:r>
            <w:rPr>
              <w:rFonts w:hint="eastAsia" w:ascii="Times New Roman" w:hAnsi="Times New Roman" w:eastAsia="宋体" w:cs="Times New Roman"/>
              <w:bCs/>
              <w:szCs w:val="24"/>
            </w:rPr>
            <w:t>（二） 试验验证分析报告</w:t>
          </w:r>
          <w:r>
            <w:tab/>
          </w:r>
          <w:r>
            <w:fldChar w:fldCharType="begin"/>
          </w:r>
          <w:r>
            <w:instrText xml:space="preserve"> PAGEREF _Toc26349 \h </w:instrText>
          </w:r>
          <w:r>
            <w:fldChar w:fldCharType="separate"/>
          </w:r>
          <w:r>
            <w:t>- 6 -</w:t>
          </w:r>
          <w:r>
            <w:fldChar w:fldCharType="end"/>
          </w:r>
          <w:r>
            <w:rPr>
              <w:szCs w:val="21"/>
            </w:rPr>
            <w:fldChar w:fldCharType="end"/>
          </w:r>
        </w:p>
        <w:p w14:paraId="08281ECB">
          <w:pPr>
            <w:pStyle w:val="16"/>
            <w:tabs>
              <w:tab w:val="right" w:leader="dot" w:pos="8844"/>
            </w:tabs>
          </w:pPr>
          <w:r>
            <w:rPr>
              <w:szCs w:val="21"/>
            </w:rPr>
            <w:fldChar w:fldCharType="begin"/>
          </w:r>
          <w:r>
            <w:rPr>
              <w:szCs w:val="21"/>
            </w:rPr>
            <w:instrText xml:space="preserve"> HYPERLINK \l _Toc27725 </w:instrText>
          </w:r>
          <w:r>
            <w:rPr>
              <w:szCs w:val="21"/>
            </w:rPr>
            <w:fldChar w:fldCharType="separate"/>
          </w:r>
          <w:r>
            <w:rPr>
              <w:rFonts w:hint="eastAsia" w:ascii="Times New Roman" w:hAnsi="Times New Roman" w:eastAsia="宋体" w:cs="Times New Roman"/>
              <w:bCs/>
              <w:szCs w:val="24"/>
            </w:rPr>
            <w:t>（三） 技术经济论证报告</w:t>
          </w:r>
          <w:r>
            <w:tab/>
          </w:r>
          <w:r>
            <w:fldChar w:fldCharType="begin"/>
          </w:r>
          <w:r>
            <w:instrText xml:space="preserve"> PAGEREF _Toc27725 \h </w:instrText>
          </w:r>
          <w:r>
            <w:fldChar w:fldCharType="separate"/>
          </w:r>
          <w:r>
            <w:t>- 7 -</w:t>
          </w:r>
          <w:r>
            <w:fldChar w:fldCharType="end"/>
          </w:r>
          <w:r>
            <w:rPr>
              <w:szCs w:val="21"/>
            </w:rPr>
            <w:fldChar w:fldCharType="end"/>
          </w:r>
        </w:p>
        <w:p w14:paraId="2815DA56">
          <w:pPr>
            <w:pStyle w:val="14"/>
            <w:tabs>
              <w:tab w:val="right" w:leader="dot" w:pos="8844"/>
            </w:tabs>
          </w:pPr>
          <w:r>
            <w:rPr>
              <w:szCs w:val="21"/>
            </w:rPr>
            <w:fldChar w:fldCharType="begin"/>
          </w:r>
          <w:r>
            <w:rPr>
              <w:szCs w:val="21"/>
            </w:rPr>
            <w:instrText xml:space="preserve"> HYPERLINK \l _Toc16065 </w:instrText>
          </w:r>
          <w:r>
            <w:rPr>
              <w:szCs w:val="21"/>
            </w:rPr>
            <w:fldChar w:fldCharType="separate"/>
          </w:r>
          <w:r>
            <w:rPr>
              <w:rFonts w:hint="eastAsia" w:ascii="Times New Roman" w:hAnsi="Times New Roman" w:eastAsia="黑体" w:cs="Times New Roman"/>
              <w:bCs/>
              <w:szCs w:val="24"/>
            </w:rPr>
            <w:t>四、 国内外相关技术及标准发展现状及对比分析</w:t>
          </w:r>
          <w:r>
            <w:tab/>
          </w:r>
          <w:r>
            <w:fldChar w:fldCharType="begin"/>
          </w:r>
          <w:r>
            <w:instrText xml:space="preserve"> PAGEREF _Toc16065 \h </w:instrText>
          </w:r>
          <w:r>
            <w:fldChar w:fldCharType="separate"/>
          </w:r>
          <w:r>
            <w:t>- 8 -</w:t>
          </w:r>
          <w:r>
            <w:fldChar w:fldCharType="end"/>
          </w:r>
          <w:r>
            <w:rPr>
              <w:szCs w:val="21"/>
            </w:rPr>
            <w:fldChar w:fldCharType="end"/>
          </w:r>
        </w:p>
        <w:p w14:paraId="373E676E">
          <w:pPr>
            <w:pStyle w:val="14"/>
            <w:tabs>
              <w:tab w:val="right" w:leader="dot" w:pos="8844"/>
            </w:tabs>
          </w:pPr>
          <w:r>
            <w:rPr>
              <w:szCs w:val="21"/>
            </w:rPr>
            <w:fldChar w:fldCharType="begin"/>
          </w:r>
          <w:r>
            <w:rPr>
              <w:szCs w:val="21"/>
            </w:rPr>
            <w:instrText xml:space="preserve"> HYPERLINK \l _Toc27229 </w:instrText>
          </w:r>
          <w:r>
            <w:rPr>
              <w:szCs w:val="21"/>
            </w:rPr>
            <w:fldChar w:fldCharType="separate"/>
          </w:r>
          <w:r>
            <w:rPr>
              <w:rFonts w:hint="eastAsia" w:ascii="Times New Roman" w:hAnsi="Times New Roman" w:eastAsia="黑体" w:cs="Times New Roman"/>
              <w:bCs/>
              <w:szCs w:val="24"/>
            </w:rPr>
            <w:t>五、 采用国际标准或国外先进标准情况</w:t>
          </w:r>
          <w:r>
            <w:tab/>
          </w:r>
          <w:r>
            <w:fldChar w:fldCharType="begin"/>
          </w:r>
          <w:r>
            <w:instrText xml:space="preserve"> PAGEREF _Toc27229 \h </w:instrText>
          </w:r>
          <w:r>
            <w:fldChar w:fldCharType="separate"/>
          </w:r>
          <w:r>
            <w:t>- 8 -</w:t>
          </w:r>
          <w:r>
            <w:fldChar w:fldCharType="end"/>
          </w:r>
          <w:r>
            <w:rPr>
              <w:szCs w:val="21"/>
            </w:rPr>
            <w:fldChar w:fldCharType="end"/>
          </w:r>
        </w:p>
        <w:p w14:paraId="1A0C414E">
          <w:pPr>
            <w:pStyle w:val="14"/>
            <w:tabs>
              <w:tab w:val="right" w:leader="dot" w:pos="8844"/>
            </w:tabs>
          </w:pPr>
          <w:r>
            <w:rPr>
              <w:szCs w:val="21"/>
            </w:rPr>
            <w:fldChar w:fldCharType="begin"/>
          </w:r>
          <w:r>
            <w:rPr>
              <w:szCs w:val="21"/>
            </w:rPr>
            <w:instrText xml:space="preserve"> HYPERLINK \l _Toc24209 </w:instrText>
          </w:r>
          <w:r>
            <w:rPr>
              <w:szCs w:val="21"/>
            </w:rPr>
            <w:fldChar w:fldCharType="separate"/>
          </w:r>
          <w:r>
            <w:rPr>
              <w:rFonts w:hint="eastAsia" w:ascii="Times New Roman" w:hAnsi="Times New Roman" w:eastAsia="黑体" w:cs="Times New Roman"/>
              <w:bCs/>
              <w:szCs w:val="24"/>
            </w:rPr>
            <w:t>六、 与有关法律、行政法规及相关标准的关系</w:t>
          </w:r>
          <w:r>
            <w:tab/>
          </w:r>
          <w:r>
            <w:fldChar w:fldCharType="begin"/>
          </w:r>
          <w:r>
            <w:instrText xml:space="preserve"> PAGEREF _Toc24209 \h </w:instrText>
          </w:r>
          <w:r>
            <w:fldChar w:fldCharType="separate"/>
          </w:r>
          <w:r>
            <w:t>- 8 -</w:t>
          </w:r>
          <w:r>
            <w:fldChar w:fldCharType="end"/>
          </w:r>
          <w:r>
            <w:rPr>
              <w:szCs w:val="21"/>
            </w:rPr>
            <w:fldChar w:fldCharType="end"/>
          </w:r>
        </w:p>
        <w:p w14:paraId="4AD12708">
          <w:pPr>
            <w:pStyle w:val="14"/>
            <w:tabs>
              <w:tab w:val="right" w:leader="dot" w:pos="8844"/>
            </w:tabs>
          </w:pPr>
          <w:r>
            <w:rPr>
              <w:szCs w:val="21"/>
            </w:rPr>
            <w:fldChar w:fldCharType="begin"/>
          </w:r>
          <w:r>
            <w:rPr>
              <w:szCs w:val="21"/>
            </w:rPr>
            <w:instrText xml:space="preserve"> HYPERLINK \l _Toc15623 </w:instrText>
          </w:r>
          <w:r>
            <w:rPr>
              <w:szCs w:val="21"/>
            </w:rPr>
            <w:fldChar w:fldCharType="separate"/>
          </w:r>
          <w:r>
            <w:rPr>
              <w:rFonts w:hint="eastAsia" w:ascii="Times New Roman" w:hAnsi="Times New Roman" w:eastAsia="黑体" w:cs="Times New Roman"/>
              <w:bCs/>
              <w:szCs w:val="24"/>
            </w:rPr>
            <w:t>七、 重大分歧意见的处理经过和依据</w:t>
          </w:r>
          <w:r>
            <w:tab/>
          </w:r>
          <w:r>
            <w:fldChar w:fldCharType="begin"/>
          </w:r>
          <w:r>
            <w:instrText xml:space="preserve"> PAGEREF _Toc15623 \h </w:instrText>
          </w:r>
          <w:r>
            <w:fldChar w:fldCharType="separate"/>
          </w:r>
          <w:r>
            <w:t>- 8 -</w:t>
          </w:r>
          <w:r>
            <w:fldChar w:fldCharType="end"/>
          </w:r>
          <w:r>
            <w:rPr>
              <w:szCs w:val="21"/>
            </w:rPr>
            <w:fldChar w:fldCharType="end"/>
          </w:r>
        </w:p>
        <w:p w14:paraId="2633E0E0">
          <w:pPr>
            <w:pStyle w:val="14"/>
            <w:tabs>
              <w:tab w:val="right" w:leader="dot" w:pos="8844"/>
            </w:tabs>
          </w:pPr>
          <w:r>
            <w:rPr>
              <w:szCs w:val="21"/>
            </w:rPr>
            <w:fldChar w:fldCharType="begin"/>
          </w:r>
          <w:r>
            <w:rPr>
              <w:szCs w:val="21"/>
            </w:rPr>
            <w:instrText xml:space="preserve"> HYPERLINK \l _Toc20452 </w:instrText>
          </w:r>
          <w:r>
            <w:rPr>
              <w:szCs w:val="21"/>
            </w:rPr>
            <w:fldChar w:fldCharType="separate"/>
          </w:r>
          <w:r>
            <w:rPr>
              <w:rFonts w:hint="eastAsia" w:ascii="Times New Roman" w:hAnsi="Times New Roman" w:eastAsia="黑体" w:cs="Times New Roman"/>
              <w:bCs/>
              <w:szCs w:val="24"/>
            </w:rPr>
            <w:t>八、 知识产权有关说明</w:t>
          </w:r>
          <w:r>
            <w:tab/>
          </w:r>
          <w:r>
            <w:fldChar w:fldCharType="begin"/>
          </w:r>
          <w:r>
            <w:instrText xml:space="preserve"> PAGEREF _Toc20452 \h </w:instrText>
          </w:r>
          <w:r>
            <w:fldChar w:fldCharType="separate"/>
          </w:r>
          <w:r>
            <w:t>- 8 -</w:t>
          </w:r>
          <w:r>
            <w:fldChar w:fldCharType="end"/>
          </w:r>
          <w:r>
            <w:rPr>
              <w:szCs w:val="21"/>
            </w:rPr>
            <w:fldChar w:fldCharType="end"/>
          </w:r>
        </w:p>
        <w:p w14:paraId="3E4AA5C0">
          <w:pPr>
            <w:pStyle w:val="14"/>
            <w:tabs>
              <w:tab w:val="right" w:leader="dot" w:pos="8844"/>
            </w:tabs>
          </w:pPr>
          <w:r>
            <w:rPr>
              <w:szCs w:val="21"/>
            </w:rPr>
            <w:fldChar w:fldCharType="begin"/>
          </w:r>
          <w:r>
            <w:rPr>
              <w:szCs w:val="21"/>
            </w:rPr>
            <w:instrText xml:space="preserve"> HYPERLINK \l _Toc11846 </w:instrText>
          </w:r>
          <w:r>
            <w:rPr>
              <w:szCs w:val="21"/>
            </w:rPr>
            <w:fldChar w:fldCharType="separate"/>
          </w:r>
          <w:r>
            <w:rPr>
              <w:rFonts w:hint="eastAsia" w:ascii="Times New Roman" w:hAnsi="Times New Roman" w:eastAsia="黑体" w:cs="Times New Roman"/>
              <w:bCs/>
              <w:szCs w:val="24"/>
            </w:rPr>
            <w:t>九、 标准宣贯实施建议</w:t>
          </w:r>
          <w:r>
            <w:tab/>
          </w:r>
          <w:r>
            <w:fldChar w:fldCharType="begin"/>
          </w:r>
          <w:r>
            <w:instrText xml:space="preserve"> PAGEREF _Toc11846 \h </w:instrText>
          </w:r>
          <w:r>
            <w:fldChar w:fldCharType="separate"/>
          </w:r>
          <w:r>
            <w:t>- 8 -</w:t>
          </w:r>
          <w:r>
            <w:fldChar w:fldCharType="end"/>
          </w:r>
          <w:r>
            <w:rPr>
              <w:szCs w:val="21"/>
            </w:rPr>
            <w:fldChar w:fldCharType="end"/>
          </w:r>
        </w:p>
        <w:p w14:paraId="6A243723">
          <w:pPr>
            <w:pStyle w:val="16"/>
            <w:tabs>
              <w:tab w:val="right" w:leader="dot" w:pos="8844"/>
            </w:tabs>
          </w:pPr>
          <w:r>
            <w:rPr>
              <w:szCs w:val="21"/>
            </w:rPr>
            <w:fldChar w:fldCharType="begin"/>
          </w:r>
          <w:r>
            <w:rPr>
              <w:szCs w:val="21"/>
            </w:rPr>
            <w:instrText xml:space="preserve"> HYPERLINK \l _Toc10528 </w:instrText>
          </w:r>
          <w:r>
            <w:rPr>
              <w:szCs w:val="21"/>
            </w:rPr>
            <w:fldChar w:fldCharType="separate"/>
          </w:r>
          <w:r>
            <w:rPr>
              <w:rFonts w:hint="eastAsia" w:ascii="Times New Roman" w:hAnsi="Times New Roman" w:eastAsia="宋体" w:cs="Times New Roman"/>
              <w:bCs/>
              <w:szCs w:val="24"/>
            </w:rPr>
            <w:t>（一） 组织措施</w:t>
          </w:r>
          <w:r>
            <w:tab/>
          </w:r>
          <w:r>
            <w:fldChar w:fldCharType="begin"/>
          </w:r>
          <w:r>
            <w:instrText xml:space="preserve"> PAGEREF _Toc10528 \h </w:instrText>
          </w:r>
          <w:r>
            <w:fldChar w:fldCharType="separate"/>
          </w:r>
          <w:r>
            <w:t>- 8 -</w:t>
          </w:r>
          <w:r>
            <w:fldChar w:fldCharType="end"/>
          </w:r>
          <w:r>
            <w:rPr>
              <w:szCs w:val="21"/>
            </w:rPr>
            <w:fldChar w:fldCharType="end"/>
          </w:r>
        </w:p>
        <w:p w14:paraId="464E9333">
          <w:pPr>
            <w:pStyle w:val="16"/>
            <w:tabs>
              <w:tab w:val="right" w:leader="dot" w:pos="8844"/>
            </w:tabs>
          </w:pPr>
          <w:r>
            <w:rPr>
              <w:szCs w:val="21"/>
            </w:rPr>
            <w:fldChar w:fldCharType="begin"/>
          </w:r>
          <w:r>
            <w:rPr>
              <w:szCs w:val="21"/>
            </w:rPr>
            <w:instrText xml:space="preserve"> HYPERLINK \l _Toc9660 </w:instrText>
          </w:r>
          <w:r>
            <w:rPr>
              <w:szCs w:val="21"/>
            </w:rPr>
            <w:fldChar w:fldCharType="separate"/>
          </w:r>
          <w:r>
            <w:rPr>
              <w:rFonts w:hint="eastAsia" w:ascii="Times New Roman" w:hAnsi="Times New Roman" w:eastAsia="宋体" w:cs="Times New Roman"/>
              <w:bCs/>
              <w:szCs w:val="24"/>
            </w:rPr>
            <w:t>（二） 技术措施</w:t>
          </w:r>
          <w:r>
            <w:tab/>
          </w:r>
          <w:r>
            <w:fldChar w:fldCharType="begin"/>
          </w:r>
          <w:r>
            <w:instrText xml:space="preserve"> PAGEREF _Toc9660 \h </w:instrText>
          </w:r>
          <w:r>
            <w:fldChar w:fldCharType="separate"/>
          </w:r>
          <w:r>
            <w:t>- 9 -</w:t>
          </w:r>
          <w:r>
            <w:fldChar w:fldCharType="end"/>
          </w:r>
          <w:r>
            <w:rPr>
              <w:szCs w:val="21"/>
            </w:rPr>
            <w:fldChar w:fldCharType="end"/>
          </w:r>
        </w:p>
        <w:p w14:paraId="36F39297">
          <w:pPr>
            <w:pStyle w:val="16"/>
            <w:tabs>
              <w:tab w:val="right" w:leader="dot" w:pos="8844"/>
            </w:tabs>
          </w:pPr>
          <w:r>
            <w:rPr>
              <w:szCs w:val="21"/>
            </w:rPr>
            <w:fldChar w:fldCharType="begin"/>
          </w:r>
          <w:r>
            <w:rPr>
              <w:szCs w:val="21"/>
            </w:rPr>
            <w:instrText xml:space="preserve"> HYPERLINK \l _Toc6876 </w:instrText>
          </w:r>
          <w:r>
            <w:rPr>
              <w:szCs w:val="21"/>
            </w:rPr>
            <w:fldChar w:fldCharType="separate"/>
          </w:r>
          <w:r>
            <w:rPr>
              <w:rFonts w:hint="eastAsia" w:ascii="Times New Roman" w:hAnsi="Times New Roman" w:eastAsia="宋体" w:cs="Times New Roman"/>
              <w:bCs/>
              <w:szCs w:val="24"/>
            </w:rPr>
            <w:t>（三） 过渡期及办法</w:t>
          </w:r>
          <w:r>
            <w:tab/>
          </w:r>
          <w:r>
            <w:fldChar w:fldCharType="begin"/>
          </w:r>
          <w:r>
            <w:instrText xml:space="preserve"> PAGEREF _Toc6876 \h </w:instrText>
          </w:r>
          <w:r>
            <w:fldChar w:fldCharType="separate"/>
          </w:r>
          <w:r>
            <w:t>- 9 -</w:t>
          </w:r>
          <w:r>
            <w:fldChar w:fldCharType="end"/>
          </w:r>
          <w:r>
            <w:rPr>
              <w:szCs w:val="21"/>
            </w:rPr>
            <w:fldChar w:fldCharType="end"/>
          </w:r>
        </w:p>
        <w:p w14:paraId="12F095A9">
          <w:pPr>
            <w:pStyle w:val="16"/>
            <w:tabs>
              <w:tab w:val="right" w:leader="dot" w:pos="8844"/>
            </w:tabs>
          </w:pPr>
          <w:r>
            <w:rPr>
              <w:szCs w:val="21"/>
            </w:rPr>
            <w:fldChar w:fldCharType="begin"/>
          </w:r>
          <w:r>
            <w:rPr>
              <w:szCs w:val="21"/>
            </w:rPr>
            <w:instrText xml:space="preserve"> HYPERLINK \l _Toc9044 </w:instrText>
          </w:r>
          <w:r>
            <w:rPr>
              <w:szCs w:val="21"/>
            </w:rPr>
            <w:fldChar w:fldCharType="separate"/>
          </w:r>
          <w:r>
            <w:rPr>
              <w:rFonts w:hint="eastAsia" w:ascii="Times New Roman" w:hAnsi="Times New Roman" w:eastAsia="宋体" w:cs="Times New Roman"/>
              <w:bCs/>
              <w:szCs w:val="24"/>
            </w:rPr>
            <w:t>（四） 实施日期</w:t>
          </w:r>
          <w:r>
            <w:tab/>
          </w:r>
          <w:r>
            <w:fldChar w:fldCharType="begin"/>
          </w:r>
          <w:r>
            <w:instrText xml:space="preserve"> PAGEREF _Toc9044 \h </w:instrText>
          </w:r>
          <w:r>
            <w:fldChar w:fldCharType="separate"/>
          </w:r>
          <w:r>
            <w:t>- 9 -</w:t>
          </w:r>
          <w:r>
            <w:fldChar w:fldCharType="end"/>
          </w:r>
          <w:r>
            <w:rPr>
              <w:szCs w:val="21"/>
            </w:rPr>
            <w:fldChar w:fldCharType="end"/>
          </w:r>
        </w:p>
        <w:p w14:paraId="58AD18B7">
          <w:pPr>
            <w:pStyle w:val="16"/>
            <w:tabs>
              <w:tab w:val="right" w:leader="dot" w:pos="8844"/>
            </w:tabs>
          </w:pPr>
          <w:r>
            <w:rPr>
              <w:szCs w:val="21"/>
            </w:rPr>
            <w:fldChar w:fldCharType="begin"/>
          </w:r>
          <w:r>
            <w:rPr>
              <w:szCs w:val="21"/>
            </w:rPr>
            <w:instrText xml:space="preserve"> HYPERLINK \l _Toc6226 </w:instrText>
          </w:r>
          <w:r>
            <w:rPr>
              <w:szCs w:val="21"/>
            </w:rPr>
            <w:fldChar w:fldCharType="separate"/>
          </w:r>
          <w:r>
            <w:rPr>
              <w:rFonts w:hint="eastAsia" w:ascii="Times New Roman" w:hAnsi="Times New Roman" w:eastAsia="宋体" w:cs="Times New Roman"/>
              <w:bCs/>
              <w:szCs w:val="24"/>
            </w:rPr>
            <w:t>（五） 废止现行有关标准的建议</w:t>
          </w:r>
          <w:r>
            <w:tab/>
          </w:r>
          <w:r>
            <w:fldChar w:fldCharType="begin"/>
          </w:r>
          <w:r>
            <w:instrText xml:space="preserve"> PAGEREF _Toc6226 \h </w:instrText>
          </w:r>
          <w:r>
            <w:fldChar w:fldCharType="separate"/>
          </w:r>
          <w:r>
            <w:t>- 9 -</w:t>
          </w:r>
          <w:r>
            <w:fldChar w:fldCharType="end"/>
          </w:r>
          <w:r>
            <w:rPr>
              <w:szCs w:val="21"/>
            </w:rPr>
            <w:fldChar w:fldCharType="end"/>
          </w:r>
        </w:p>
        <w:p w14:paraId="0A170BDD">
          <w:pPr>
            <w:pStyle w:val="14"/>
            <w:tabs>
              <w:tab w:val="right" w:leader="dot" w:pos="8844"/>
            </w:tabs>
          </w:pPr>
          <w:r>
            <w:rPr>
              <w:szCs w:val="21"/>
            </w:rPr>
            <w:fldChar w:fldCharType="begin"/>
          </w:r>
          <w:r>
            <w:rPr>
              <w:szCs w:val="21"/>
            </w:rPr>
            <w:instrText xml:space="preserve"> HYPERLINK \l _Toc31830 </w:instrText>
          </w:r>
          <w:r>
            <w:rPr>
              <w:szCs w:val="21"/>
            </w:rPr>
            <w:fldChar w:fldCharType="separate"/>
          </w:r>
          <w:r>
            <w:rPr>
              <w:rFonts w:hint="eastAsia" w:ascii="Times New Roman" w:hAnsi="Times New Roman" w:eastAsia="黑体" w:cs="Times New Roman"/>
              <w:bCs/>
              <w:szCs w:val="24"/>
            </w:rPr>
            <w:t>十、 其他应当说明的事项</w:t>
          </w:r>
          <w:r>
            <w:tab/>
          </w:r>
          <w:r>
            <w:fldChar w:fldCharType="begin"/>
          </w:r>
          <w:r>
            <w:instrText xml:space="preserve"> PAGEREF _Toc31830 \h </w:instrText>
          </w:r>
          <w:r>
            <w:fldChar w:fldCharType="separate"/>
          </w:r>
          <w:r>
            <w:t>- 9 -</w:t>
          </w:r>
          <w:r>
            <w:fldChar w:fldCharType="end"/>
          </w:r>
          <w:r>
            <w:rPr>
              <w:szCs w:val="21"/>
            </w:rPr>
            <w:fldChar w:fldCharType="end"/>
          </w:r>
        </w:p>
        <w:p w14:paraId="3480792B">
          <w:pPr>
            <w:pStyle w:val="16"/>
            <w:tabs>
              <w:tab w:val="right" w:leader="dot" w:pos="8844"/>
            </w:tabs>
          </w:pPr>
          <w:r>
            <w:rPr>
              <w:szCs w:val="21"/>
            </w:rPr>
            <w:fldChar w:fldCharType="begin"/>
          </w:r>
          <w:r>
            <w:rPr>
              <w:szCs w:val="21"/>
            </w:rPr>
            <w:instrText xml:space="preserve"> HYPERLINK \l _Toc31934 </w:instrText>
          </w:r>
          <w:r>
            <w:rPr>
              <w:szCs w:val="21"/>
            </w:rPr>
            <w:fldChar w:fldCharType="separate"/>
          </w:r>
          <w:r>
            <w:rPr>
              <w:rFonts w:hint="eastAsia" w:ascii="Times New Roman" w:hAnsi="Times New Roman" w:eastAsia="宋体" w:cs="Times New Roman"/>
              <w:bCs/>
              <w:szCs w:val="24"/>
            </w:rPr>
            <w:t>（一） 标准名称、范围和主要技术内容调整</w:t>
          </w:r>
          <w:r>
            <w:tab/>
          </w:r>
          <w:r>
            <w:fldChar w:fldCharType="begin"/>
          </w:r>
          <w:r>
            <w:instrText xml:space="preserve"> PAGEREF _Toc31934 \h </w:instrText>
          </w:r>
          <w:r>
            <w:fldChar w:fldCharType="separate"/>
          </w:r>
          <w:r>
            <w:t>- 9 -</w:t>
          </w:r>
          <w:r>
            <w:fldChar w:fldCharType="end"/>
          </w:r>
          <w:r>
            <w:rPr>
              <w:szCs w:val="21"/>
            </w:rPr>
            <w:fldChar w:fldCharType="end"/>
          </w:r>
        </w:p>
        <w:p w14:paraId="5BBD2DED">
          <w:pPr>
            <w:rPr>
              <w:rFonts w:hint="eastAsia"/>
              <w:b/>
            </w:rPr>
          </w:pPr>
          <w:r>
            <w:rPr>
              <w:szCs w:val="21"/>
            </w:rPr>
            <w:fldChar w:fldCharType="end"/>
          </w:r>
        </w:p>
      </w:sdtContent>
    </w:sdt>
    <w:p w14:paraId="0397D49D">
      <w:pPr>
        <w:rPr>
          <w:rFonts w:hint="eastAsia"/>
          <w:b/>
        </w:rPr>
      </w:pPr>
    </w:p>
    <w:p w14:paraId="72C433A5">
      <w:pPr>
        <w:rPr>
          <w:rFonts w:ascii="Times New Roman" w:hAnsi="Times New Roman" w:eastAsia="黑体" w:cs="Times New Roman"/>
          <w:b/>
          <w:bCs/>
          <w:color w:val="000000"/>
          <w:sz w:val="32"/>
          <w:szCs w:val="32"/>
        </w:rPr>
      </w:pPr>
      <w:r>
        <w:rPr>
          <w:rFonts w:hint="eastAsia" w:ascii="Times New Roman" w:hAnsi="Times New Roman" w:eastAsia="黑体" w:cs="Times New Roman"/>
          <w:b/>
          <w:bCs/>
          <w:color w:val="000000"/>
          <w:sz w:val="32"/>
          <w:szCs w:val="32"/>
        </w:rPr>
        <w:br w:type="page"/>
      </w:r>
    </w:p>
    <w:p w14:paraId="6BFE2C03">
      <w:pPr>
        <w:spacing w:line="500" w:lineRule="exact"/>
        <w:jc w:val="center"/>
        <w:outlineLvl w:val="0"/>
        <w:rPr>
          <w:rFonts w:ascii="Times New Roman" w:hAnsi="Times New Roman" w:eastAsia="黑体" w:cs="Times New Roman"/>
          <w:b/>
          <w:bCs/>
          <w:color w:val="000000"/>
          <w:sz w:val="32"/>
          <w:szCs w:val="32"/>
        </w:rPr>
      </w:pPr>
      <w:bookmarkStart w:id="4" w:name="_Toc17567"/>
      <w:bookmarkStart w:id="5" w:name="_Toc29892"/>
      <w:bookmarkStart w:id="6" w:name="_Toc198631434"/>
      <w:r>
        <w:rPr>
          <w:rFonts w:hint="eastAsia" w:ascii="Times New Roman" w:hAnsi="Times New Roman" w:eastAsia="黑体" w:cs="Times New Roman"/>
          <w:b/>
          <w:bCs/>
          <w:color w:val="000000"/>
          <w:sz w:val="32"/>
          <w:szCs w:val="32"/>
        </w:rPr>
        <w:t>电影行业标准</w:t>
      </w:r>
      <w:bookmarkEnd w:id="4"/>
      <w:bookmarkEnd w:id="5"/>
      <w:bookmarkEnd w:id="6"/>
    </w:p>
    <w:p w14:paraId="10EB5EA9">
      <w:pPr>
        <w:jc w:val="center"/>
        <w:rPr>
          <w:rFonts w:hint="eastAsia" w:ascii="黑体" w:hAnsi="黑体" w:eastAsia="黑体" w:cs="Times New Roman"/>
          <w:b/>
          <w:bCs/>
          <w:color w:val="000000"/>
          <w:sz w:val="32"/>
          <w:szCs w:val="32"/>
        </w:rPr>
      </w:pPr>
      <w:r>
        <w:rPr>
          <w:rFonts w:hint="eastAsia" w:ascii="黑体" w:hAnsi="黑体" w:eastAsia="黑体" w:cs="Times New Roman"/>
          <w:b/>
          <w:bCs/>
          <w:color w:val="000000"/>
          <w:sz w:val="32"/>
          <w:szCs w:val="32"/>
        </w:rPr>
        <w:t>《数字影院LED放映发行母版和数据包技术规范》</w:t>
      </w:r>
    </w:p>
    <w:p w14:paraId="309B3EB4">
      <w:pPr>
        <w:jc w:val="center"/>
        <w:rPr>
          <w:rFonts w:hint="eastAsia" w:ascii="黑体" w:hAnsi="黑体" w:eastAsia="黑体" w:cs="Times New Roman"/>
          <w:b/>
          <w:bCs/>
          <w:color w:val="000000"/>
          <w:sz w:val="32"/>
          <w:szCs w:val="32"/>
        </w:rPr>
      </w:pPr>
      <w:r>
        <w:rPr>
          <w:rFonts w:hint="eastAsia" w:ascii="黑体" w:hAnsi="黑体" w:eastAsia="黑体" w:cs="Times New Roman"/>
          <w:b/>
          <w:bCs/>
          <w:color w:val="000000"/>
          <w:sz w:val="32"/>
          <w:szCs w:val="32"/>
        </w:rPr>
        <w:t>编制说明</w:t>
      </w:r>
    </w:p>
    <w:p w14:paraId="4EC159E7">
      <w:pPr>
        <w:jc w:val="center"/>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eastAsia="zh-CN"/>
        </w:rPr>
        <w:t>□</w:t>
      </w:r>
      <w:r>
        <w:rPr>
          <w:rFonts w:hint="eastAsia" w:ascii="宋体" w:hAnsi="宋体" w:eastAsia="宋体" w:cs="宋体"/>
          <w:bCs/>
          <w:sz w:val="24"/>
          <w:szCs w:val="24"/>
        </w:rPr>
        <w:t>工作组讨论稿</w:t>
      </w:r>
      <w:r>
        <w:rPr>
          <w:rFonts w:hint="eastAsia" w:ascii="宋体" w:hAnsi="宋体" w:eastAsia="宋体" w:cs="宋体"/>
          <w:bCs/>
          <w:sz w:val="24"/>
          <w:szCs w:val="24"/>
          <w:lang w:eastAsia="zh-CN"/>
        </w:rPr>
        <w:t>☑</w:t>
      </w:r>
      <w:r>
        <w:rPr>
          <w:rFonts w:hint="eastAsia" w:ascii="宋体" w:hAnsi="宋体" w:eastAsia="宋体" w:cs="宋体"/>
          <w:bCs/>
          <w:sz w:val="24"/>
          <w:szCs w:val="24"/>
        </w:rPr>
        <w:t>征求意见稿□送审稿□报批稿）</w:t>
      </w:r>
    </w:p>
    <w:p w14:paraId="6AA2DCF0">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7" w:name="_Toc11541"/>
      <w:r>
        <w:rPr>
          <w:rFonts w:hint="eastAsia" w:ascii="Times New Roman" w:hAnsi="Times New Roman" w:eastAsia="黑体" w:cs="Times New Roman"/>
          <w:b/>
          <w:bCs/>
          <w:color w:val="000000"/>
          <w:sz w:val="24"/>
          <w:szCs w:val="24"/>
        </w:rPr>
        <w:t>工作简况</w:t>
      </w:r>
      <w:bookmarkEnd w:id="7"/>
    </w:p>
    <w:p w14:paraId="0502E438">
      <w:pPr>
        <w:numPr>
          <w:ilvl w:val="0"/>
          <w:numId w:val="3"/>
        </w:numPr>
        <w:spacing w:before="156" w:beforeLines="50"/>
        <w:ind w:firstLine="0"/>
        <w:jc w:val="left"/>
        <w:outlineLvl w:val="1"/>
        <w:rPr>
          <w:rFonts w:ascii="Times New Roman" w:hAnsi="Times New Roman" w:eastAsia="宋体" w:cs="Times New Roman"/>
          <w:b/>
          <w:bCs/>
          <w:sz w:val="24"/>
          <w:szCs w:val="24"/>
        </w:rPr>
      </w:pPr>
      <w:bookmarkStart w:id="8" w:name="_Toc10256"/>
      <w:r>
        <w:rPr>
          <w:rFonts w:hint="eastAsia" w:ascii="Times New Roman" w:hAnsi="Times New Roman" w:eastAsia="宋体" w:cs="Times New Roman"/>
          <w:b/>
          <w:bCs/>
          <w:sz w:val="24"/>
          <w:szCs w:val="24"/>
        </w:rPr>
        <w:t>任务来源</w:t>
      </w:r>
      <w:bookmarkEnd w:id="8"/>
    </w:p>
    <w:p w14:paraId="5AF9E393">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本标准根据《中宣部电影局关于电影科研所&lt;关于报请审批2024年度电影行业标准项目建议的请示&gt;的复函》(中宣局室发函〔2024〕160193号)和电影行业标准制修订计划项目任务书</w:t>
      </w:r>
      <w:bookmarkStart w:id="9" w:name="OLE_LINK1"/>
      <w:r>
        <w:rPr>
          <w:rFonts w:hint="eastAsia" w:ascii="Times New Roman" w:hAnsi="Times New Roman" w:eastAsia="宋体" w:cs="Times New Roman"/>
          <w:sz w:val="24"/>
          <w:szCs w:val="24"/>
        </w:rPr>
        <w:t>《数字影院LED放映发行母版技术规范》</w:t>
      </w:r>
      <w:bookmarkEnd w:id="9"/>
      <w:r>
        <w:rPr>
          <w:rFonts w:hint="eastAsia" w:ascii="Times New Roman" w:hAnsi="Times New Roman" w:eastAsia="宋体" w:cs="Times New Roman"/>
          <w:sz w:val="24"/>
          <w:szCs w:val="24"/>
        </w:rPr>
        <w:t>（项目编号：2024-1），由中国电影科学技术研究所（中央宣传部电影技术质量检测所）负责编制。</w:t>
      </w:r>
    </w:p>
    <w:p w14:paraId="3F9C7730">
      <w:pPr>
        <w:numPr>
          <w:ilvl w:val="0"/>
          <w:numId w:val="3"/>
        </w:numPr>
        <w:spacing w:before="156" w:beforeLines="50"/>
        <w:ind w:firstLine="0"/>
        <w:jc w:val="left"/>
        <w:outlineLvl w:val="1"/>
        <w:rPr>
          <w:rFonts w:ascii="Times New Roman" w:hAnsi="Times New Roman" w:eastAsia="宋体" w:cs="Times New Roman"/>
          <w:b/>
          <w:bCs/>
          <w:sz w:val="24"/>
          <w:szCs w:val="24"/>
        </w:rPr>
      </w:pPr>
      <w:bookmarkStart w:id="10" w:name="_Toc32695"/>
      <w:r>
        <w:rPr>
          <w:rFonts w:hint="eastAsia" w:ascii="Times New Roman" w:hAnsi="Times New Roman" w:eastAsia="宋体" w:cs="Times New Roman"/>
          <w:b/>
          <w:bCs/>
          <w:sz w:val="24"/>
          <w:szCs w:val="24"/>
        </w:rPr>
        <w:t>制定背景、目的及意义</w:t>
      </w:r>
      <w:bookmarkEnd w:id="10"/>
    </w:p>
    <w:p w14:paraId="70953EC8">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数字影院LED放映系统凭借其高亮度、高对比度、高动态范围以及均匀度好等技术优势，能够为观众带来高质量的画面效果和全新的观影体验，同时也为高格式电影在影院的应用提供了有力的技术载体。截至2024年底，我国已安装或投入使用105家数字电影LED影厅，累计票房收入超过9600万元，票房占比和数量占比的增长幅度均达到55%以上。由此可见，数字影院LED放映系统将成为电影行业未来重要的技术变革方向和产业发展的关键发力点。</w:t>
      </w:r>
    </w:p>
    <w:p w14:paraId="28967066">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然而，目前电影内容制版环境和系统仍采用传统的“投影机+银幕”放映模式，这种模式下制作的影片无法充分展现数字影院LED放映系统的技术优势。与此同时，LED放映制版技术在全球范围内仍处于起步阶段，国内外尚未发布任何LED放映发行母版标准，这在一定程度上制约了LED新型显示技术的应用和推广。</w:t>
      </w:r>
    </w:p>
    <w:p w14:paraId="2E62C8B4">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为了充分展现LED放映技术的优势，为观众提供极致的观影体验，保障数字影院LED放映制版的质量以及各环节的一致性，结合中国电影科学技术研究所（中央宣传部电影技术质量检测所）《数字电影LED影厅发行母版制版技术研究》项目的研究成果，针对数字影院LED放映制版的技术特点，制定了涵盖制版环境、制版系统、图像特性、音频特性等多方面的技术指标，进而形成了数字影院LED放映发行母版的技术规范。</w:t>
      </w:r>
    </w:p>
    <w:p w14:paraId="1EBA7E74">
      <w:pPr>
        <w:numPr>
          <w:ilvl w:val="0"/>
          <w:numId w:val="3"/>
        </w:numPr>
        <w:spacing w:before="156" w:beforeLines="50"/>
        <w:ind w:firstLine="0"/>
        <w:jc w:val="left"/>
        <w:outlineLvl w:val="1"/>
        <w:rPr>
          <w:rFonts w:ascii="Times New Roman" w:hAnsi="Times New Roman" w:eastAsia="宋体" w:cs="Times New Roman"/>
          <w:b/>
          <w:bCs/>
          <w:sz w:val="24"/>
          <w:szCs w:val="24"/>
        </w:rPr>
      </w:pPr>
      <w:bookmarkStart w:id="11" w:name="_Toc11759"/>
      <w:r>
        <w:rPr>
          <w:rFonts w:hint="eastAsia" w:ascii="Times New Roman" w:hAnsi="Times New Roman" w:eastAsia="宋体" w:cs="Times New Roman"/>
          <w:b/>
          <w:bCs/>
          <w:sz w:val="24"/>
          <w:szCs w:val="24"/>
        </w:rPr>
        <w:t>主要起草单位、参与单位及其分工</w:t>
      </w:r>
      <w:bookmarkEnd w:id="11"/>
    </w:p>
    <w:p w14:paraId="7391F28B">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负责起草单位：中国电影科学技术研究所（中央宣传部电影技术质量检测所），负责标准技术框架和技术要求的制定、实验验证等内容。</w:t>
      </w:r>
    </w:p>
    <w:p w14:paraId="038A347A">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主要起草单位：中国电影股份有限公司、华夏电影发行有限责任公司、华为技术有限公司，负责协助标准的制定和实验验证。</w:t>
      </w:r>
    </w:p>
    <w:p w14:paraId="680BD3BB">
      <w:pPr>
        <w:numPr>
          <w:ilvl w:val="0"/>
          <w:numId w:val="3"/>
        </w:numPr>
        <w:spacing w:before="156" w:beforeLines="50"/>
        <w:ind w:firstLine="0"/>
        <w:jc w:val="left"/>
        <w:outlineLvl w:val="1"/>
        <w:rPr>
          <w:rFonts w:ascii="Times New Roman" w:hAnsi="Times New Roman" w:eastAsia="宋体" w:cs="Times New Roman"/>
          <w:b/>
          <w:bCs/>
          <w:sz w:val="24"/>
          <w:szCs w:val="24"/>
        </w:rPr>
      </w:pPr>
      <w:bookmarkStart w:id="12" w:name="_Toc5877"/>
      <w:r>
        <w:rPr>
          <w:rFonts w:hint="eastAsia" w:ascii="Times New Roman" w:hAnsi="Times New Roman" w:eastAsia="宋体" w:cs="Times New Roman"/>
          <w:b/>
          <w:bCs/>
          <w:sz w:val="24"/>
          <w:szCs w:val="24"/>
        </w:rPr>
        <w:t>主要起草人及其分工工作</w:t>
      </w:r>
      <w:bookmarkEnd w:id="12"/>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1"/>
        <w:gridCol w:w="1555"/>
        <w:gridCol w:w="5814"/>
      </w:tblGrid>
      <w:tr w14:paraId="2D69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28C69B9B">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角色分工</w:t>
            </w:r>
          </w:p>
        </w:tc>
        <w:tc>
          <w:tcPr>
            <w:tcW w:w="1555" w:type="dxa"/>
            <w:vAlign w:val="center"/>
          </w:tcPr>
          <w:p w14:paraId="664C47A6">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姓名</w:t>
            </w:r>
          </w:p>
        </w:tc>
        <w:tc>
          <w:tcPr>
            <w:tcW w:w="5814" w:type="dxa"/>
            <w:vAlign w:val="center"/>
          </w:tcPr>
          <w:p w14:paraId="176589F1">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任务分工</w:t>
            </w:r>
          </w:p>
        </w:tc>
      </w:tr>
      <w:tr w14:paraId="11D6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490BE0ED">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项目负责人</w:t>
            </w:r>
          </w:p>
        </w:tc>
        <w:tc>
          <w:tcPr>
            <w:tcW w:w="1555" w:type="dxa"/>
            <w:vAlign w:val="center"/>
          </w:tcPr>
          <w:p w14:paraId="67C0CA4C">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李娜</w:t>
            </w:r>
          </w:p>
        </w:tc>
        <w:tc>
          <w:tcPr>
            <w:tcW w:w="5814" w:type="dxa"/>
            <w:vAlign w:val="center"/>
          </w:tcPr>
          <w:p w14:paraId="6A1DBC85">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负责组织本标准内容的编写工作和实验系统的搭建工作。</w:t>
            </w:r>
          </w:p>
        </w:tc>
      </w:tr>
      <w:tr w14:paraId="2A08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5E5422BE">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5CC5BF85">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龚波</w:t>
            </w:r>
          </w:p>
        </w:tc>
        <w:tc>
          <w:tcPr>
            <w:tcW w:w="5814" w:type="dxa"/>
            <w:vAlign w:val="center"/>
          </w:tcPr>
          <w:p w14:paraId="29512BC2">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负责标准总体规划和设计，方向决策。</w:t>
            </w:r>
          </w:p>
        </w:tc>
      </w:tr>
      <w:tr w14:paraId="7994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20774668">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1AD4D502">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徐涛</w:t>
            </w:r>
          </w:p>
        </w:tc>
        <w:tc>
          <w:tcPr>
            <w:tcW w:w="5814" w:type="dxa"/>
            <w:vAlign w:val="center"/>
          </w:tcPr>
          <w:p w14:paraId="71FC5D4E">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负责标准总体规划和设计，方向决策。</w:t>
            </w:r>
          </w:p>
        </w:tc>
      </w:tr>
      <w:tr w14:paraId="40D5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4C3EC089">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shd w:val="clear" w:color="auto" w:fill="auto"/>
            <w:vAlign w:val="center"/>
          </w:tcPr>
          <w:p w14:paraId="1E6D36E4">
            <w:pPr>
              <w:numPr>
                <w:ilvl w:val="255"/>
                <w:numId w:val="0"/>
              </w:numPr>
              <w:spacing w:line="380" w:lineRule="exact"/>
              <w:ind w:left="0" w:leftChars="0"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李虹珊</w:t>
            </w:r>
          </w:p>
        </w:tc>
        <w:tc>
          <w:tcPr>
            <w:tcW w:w="5814" w:type="dxa"/>
            <w:shd w:val="clear" w:color="auto" w:fill="auto"/>
            <w:vAlign w:val="center"/>
          </w:tcPr>
          <w:p w14:paraId="5EDF8A9D">
            <w:pPr>
              <w:numPr>
                <w:ilvl w:val="255"/>
                <w:numId w:val="0"/>
              </w:numPr>
              <w:spacing w:line="380" w:lineRule="exact"/>
              <w:ind w:left="0" w:leftChars="0"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负责实验验证和协助标准内容的制定。</w:t>
            </w:r>
          </w:p>
        </w:tc>
      </w:tr>
      <w:tr w14:paraId="20DB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5CCDBD3B">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shd w:val="clear" w:color="auto" w:fill="auto"/>
            <w:vAlign w:val="center"/>
          </w:tcPr>
          <w:p w14:paraId="5BE16FDA">
            <w:pPr>
              <w:numPr>
                <w:ilvl w:val="255"/>
                <w:numId w:val="0"/>
              </w:numPr>
              <w:spacing w:line="380" w:lineRule="exact"/>
              <w:ind w:left="0" w:leftChars="0"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王晋芳</w:t>
            </w:r>
          </w:p>
        </w:tc>
        <w:tc>
          <w:tcPr>
            <w:tcW w:w="5814" w:type="dxa"/>
            <w:shd w:val="clear" w:color="auto" w:fill="auto"/>
            <w:vAlign w:val="center"/>
          </w:tcPr>
          <w:p w14:paraId="728CDBDA">
            <w:pPr>
              <w:numPr>
                <w:ilvl w:val="255"/>
                <w:numId w:val="0"/>
              </w:numPr>
              <w:spacing w:line="380" w:lineRule="exact"/>
              <w:ind w:left="0" w:leftChars="0"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负责实验验证和协助标准内容的制定。</w:t>
            </w:r>
          </w:p>
        </w:tc>
      </w:tr>
      <w:tr w14:paraId="6730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15A6E971">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shd w:val="clear" w:color="auto" w:fill="auto"/>
            <w:vAlign w:val="center"/>
          </w:tcPr>
          <w:p w14:paraId="3F5655FD">
            <w:pPr>
              <w:numPr>
                <w:ilvl w:val="255"/>
                <w:numId w:val="0"/>
              </w:numPr>
              <w:spacing w:line="380" w:lineRule="exact"/>
              <w:ind w:left="0" w:leftChars="0"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董强国</w:t>
            </w:r>
          </w:p>
        </w:tc>
        <w:tc>
          <w:tcPr>
            <w:tcW w:w="5814" w:type="dxa"/>
            <w:shd w:val="clear" w:color="auto" w:fill="auto"/>
            <w:vAlign w:val="center"/>
          </w:tcPr>
          <w:p w14:paraId="6E2D9EC1">
            <w:pPr>
              <w:numPr>
                <w:ilvl w:val="255"/>
                <w:numId w:val="0"/>
              </w:numPr>
              <w:spacing w:line="380" w:lineRule="exact"/>
              <w:ind w:left="0" w:leftChars="0"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负责实验验证和协助标准内容的制定。</w:t>
            </w:r>
          </w:p>
        </w:tc>
      </w:tr>
      <w:tr w14:paraId="03BE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3F8B9085">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683422DE">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王薇娜</w:t>
            </w:r>
          </w:p>
        </w:tc>
        <w:tc>
          <w:tcPr>
            <w:tcW w:w="5814" w:type="dxa"/>
            <w:vAlign w:val="center"/>
          </w:tcPr>
          <w:p w14:paraId="332A95B6">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负责实验验证和协助标准内容的制定。</w:t>
            </w:r>
          </w:p>
        </w:tc>
      </w:tr>
      <w:tr w14:paraId="59E9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32A9C161">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356C6D1F">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张辉</w:t>
            </w:r>
          </w:p>
        </w:tc>
        <w:tc>
          <w:tcPr>
            <w:tcW w:w="5814" w:type="dxa"/>
            <w:vAlign w:val="center"/>
          </w:tcPr>
          <w:p w14:paraId="1BA311A9">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负责协助搭建实验系统和协助实验验证。</w:t>
            </w:r>
          </w:p>
        </w:tc>
      </w:tr>
      <w:tr w14:paraId="625D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636C18B0">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44FC12AC">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王景宇</w:t>
            </w:r>
          </w:p>
        </w:tc>
        <w:tc>
          <w:tcPr>
            <w:tcW w:w="5814" w:type="dxa"/>
            <w:vAlign w:val="center"/>
          </w:tcPr>
          <w:p w14:paraId="15651832">
            <w:pPr>
              <w:numPr>
                <w:ilvl w:val="255"/>
                <w:numId w:val="0"/>
              </w:numPr>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负责协助搭建实验系统和协助实验验证。</w:t>
            </w:r>
          </w:p>
        </w:tc>
      </w:tr>
      <w:tr w14:paraId="45E8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791E6693">
            <w:pPr>
              <w:numPr>
                <w:ilvl w:val="255"/>
                <w:numId w:val="0"/>
              </w:numPr>
              <w:spacing w:line="380" w:lineRule="exact"/>
              <w:jc w:val="center"/>
              <w:rPr>
                <w:rFonts w:hint="eastAsia" w:ascii="Times New Roman" w:hAnsi="Times New Roman" w:eastAsia="宋体" w:cs="Times New Roman"/>
                <w:szCs w:val="21"/>
              </w:rPr>
            </w:pPr>
            <w:bookmarkStart w:id="13" w:name="_Toc1860"/>
            <w:r>
              <w:rPr>
                <w:rFonts w:hint="eastAsia" w:ascii="Times New Roman" w:hAnsi="Times New Roman" w:eastAsia="宋体" w:cs="Times New Roman"/>
                <w:szCs w:val="21"/>
              </w:rPr>
              <w:t>主要起草人</w:t>
            </w:r>
          </w:p>
        </w:tc>
        <w:tc>
          <w:tcPr>
            <w:tcW w:w="1555" w:type="dxa"/>
            <w:vAlign w:val="center"/>
          </w:tcPr>
          <w:p w14:paraId="47718BCC">
            <w:pPr>
              <w:numPr>
                <w:ilvl w:val="255"/>
                <w:numId w:val="0"/>
              </w:numPr>
              <w:spacing w:line="38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何晓</w:t>
            </w:r>
          </w:p>
        </w:tc>
        <w:tc>
          <w:tcPr>
            <w:tcW w:w="5814" w:type="dxa"/>
            <w:vAlign w:val="center"/>
          </w:tcPr>
          <w:p w14:paraId="0B79C69C">
            <w:pPr>
              <w:numPr>
                <w:ilvl w:val="255"/>
                <w:numId w:val="0"/>
              </w:numPr>
              <w:spacing w:line="38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负责协助实验验证</w:t>
            </w:r>
            <w:r>
              <w:rPr>
                <w:rFonts w:hint="eastAsia" w:ascii="Times New Roman" w:hAnsi="Times New Roman" w:eastAsia="宋体" w:cs="Times New Roman"/>
                <w:szCs w:val="21"/>
                <w:lang w:val="en-US" w:eastAsia="zh-CN"/>
              </w:rPr>
              <w:t>和</w:t>
            </w:r>
            <w:bookmarkStart w:id="35" w:name="_GoBack"/>
            <w:bookmarkEnd w:id="35"/>
            <w:r>
              <w:rPr>
                <w:rFonts w:hint="eastAsia" w:ascii="Times New Roman" w:hAnsi="Times New Roman" w:eastAsia="宋体" w:cs="Times New Roman"/>
                <w:szCs w:val="21"/>
                <w:lang w:val="en-US" w:eastAsia="zh-CN"/>
              </w:rPr>
              <w:t>放映认证</w:t>
            </w:r>
            <w:r>
              <w:rPr>
                <w:rFonts w:hint="eastAsia" w:ascii="Times New Roman" w:hAnsi="Times New Roman" w:eastAsia="宋体" w:cs="Times New Roman"/>
                <w:szCs w:val="21"/>
              </w:rPr>
              <w:t>。</w:t>
            </w:r>
          </w:p>
        </w:tc>
      </w:tr>
      <w:tr w14:paraId="7617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23248205">
            <w:pPr>
              <w:numPr>
                <w:ilvl w:val="255"/>
                <w:numId w:val="0"/>
              </w:numPr>
              <w:spacing w:line="38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主要起草人</w:t>
            </w:r>
          </w:p>
        </w:tc>
        <w:tc>
          <w:tcPr>
            <w:tcW w:w="1555" w:type="dxa"/>
            <w:vAlign w:val="center"/>
          </w:tcPr>
          <w:p w14:paraId="48CFC657">
            <w:pPr>
              <w:numPr>
                <w:ilvl w:val="255"/>
                <w:numId w:val="0"/>
              </w:numPr>
              <w:spacing w:line="38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常婉晴</w:t>
            </w:r>
          </w:p>
        </w:tc>
        <w:tc>
          <w:tcPr>
            <w:tcW w:w="5814" w:type="dxa"/>
            <w:vAlign w:val="center"/>
          </w:tcPr>
          <w:p w14:paraId="08C7299E">
            <w:pPr>
              <w:numPr>
                <w:ilvl w:val="255"/>
                <w:numId w:val="0"/>
              </w:numPr>
              <w:spacing w:line="38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负责协助</w:t>
            </w:r>
            <w:r>
              <w:rPr>
                <w:rFonts w:hint="eastAsia" w:ascii="Times New Roman" w:hAnsi="Times New Roman" w:eastAsia="宋体" w:cs="Times New Roman"/>
                <w:szCs w:val="21"/>
                <w:lang w:val="en-US" w:eastAsia="zh-CN"/>
              </w:rPr>
              <w:t>电影行业版本的制作和</w:t>
            </w:r>
            <w:r>
              <w:rPr>
                <w:rFonts w:hint="eastAsia" w:ascii="Times New Roman" w:hAnsi="Times New Roman" w:eastAsia="宋体" w:cs="Times New Roman"/>
                <w:szCs w:val="21"/>
              </w:rPr>
              <w:t>协助实验验证。</w:t>
            </w:r>
          </w:p>
        </w:tc>
      </w:tr>
    </w:tbl>
    <w:p w14:paraId="46DEF580">
      <w:pPr>
        <w:numPr>
          <w:ilvl w:val="0"/>
          <w:numId w:val="3"/>
        </w:numPr>
        <w:spacing w:before="156" w:beforeLines="50"/>
        <w:ind w:firstLine="0"/>
        <w:jc w:val="left"/>
        <w:outlineLvl w:val="1"/>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主要工作过程</w:t>
      </w:r>
      <w:bookmarkEnd w:id="13"/>
    </w:p>
    <w:p w14:paraId="727D1626">
      <w:pPr>
        <w:numPr>
          <w:ilvl w:val="0"/>
          <w:numId w:val="4"/>
        </w:numPr>
        <w:spacing w:before="156" w:beforeLines="50"/>
        <w:ind w:left="5" w:firstLine="215"/>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预研和立项阶段</w:t>
      </w:r>
      <w:r>
        <w:rPr>
          <w:rFonts w:hint="eastAsia" w:ascii="Times New Roman" w:hAnsi="Times New Roman" w:eastAsia="宋体" w:cs="Times New Roman"/>
          <w:sz w:val="24"/>
          <w:szCs w:val="24"/>
        </w:rPr>
        <w:t>（2024年5月—2024年10月）</w:t>
      </w:r>
    </w:p>
    <w:p w14:paraId="43C7AA2A">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2024年5月</w:t>
      </w:r>
      <w:r>
        <w:rPr>
          <w:rFonts w:hint="eastAsia" w:ascii="宋体" w:hAnsi="宋体" w:eastAsia="宋体" w:cs="宋体"/>
          <w:sz w:val="24"/>
          <w:szCs w:val="24"/>
        </w:rPr>
        <w:t>-</w:t>
      </w:r>
      <w:r>
        <w:rPr>
          <w:rFonts w:hint="eastAsia" w:ascii="Times New Roman" w:hAnsi="Times New Roman" w:eastAsia="宋体" w:cs="Times New Roman"/>
          <w:sz w:val="24"/>
          <w:szCs w:val="24"/>
        </w:rPr>
        <w:t>2024年8月，中国电影科学技术研究所（中央宣传部电影技术质量检测所）申报《数字电影LED影厅发行母版制版技术研究》项目，以LED影厅放映技术标准为应用基础，联合华夏电影发行公司和华夏利亚德公司，围绕国产LED电影放映、DCI HDR、基于基础声床+元数据+对象的国产沉浸式音频特效等关键技术，搭建数字电影LED影厅制版系统，开展LED HDR发行母版的研发和制版研究，形成制版项目标准草案。</w:t>
      </w:r>
    </w:p>
    <w:p w14:paraId="045FEA4D">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2024年8月，中宣部电影局下达《中宣部电影局关于电影科研所&lt;关于报请审批2024年度电影行业标准项目建议的请示&gt;的复函》(中宣局室发函〔2024〕160193号)，批复电影行业标准项目《数字电影LED影厅发行母版制版技术研究》立项。</w:t>
      </w:r>
    </w:p>
    <w:p w14:paraId="5C10A7EB">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2024年9月—10月，</w:t>
      </w:r>
      <w:r>
        <w:rPr>
          <w:rFonts w:hint="eastAsia" w:ascii="Times New Roman" w:hAnsi="Times New Roman" w:eastAsia="宋体" w:cs="Times New Roman"/>
          <w:sz w:val="24"/>
          <w:szCs w:val="24"/>
          <w:lang w:val="en-US" w:eastAsia="zh-CN"/>
        </w:rPr>
        <w:t>经电影标委会、中宣部电影局批准，</w:t>
      </w:r>
      <w:r>
        <w:rPr>
          <w:rFonts w:hint="eastAsia" w:ascii="Times New Roman" w:hAnsi="Times New Roman" w:eastAsia="宋体" w:cs="Times New Roman"/>
          <w:sz w:val="24"/>
          <w:szCs w:val="24"/>
        </w:rPr>
        <w:t>签订项目任务书。</w:t>
      </w:r>
    </w:p>
    <w:p w14:paraId="3C9BD4D8">
      <w:pPr>
        <w:numPr>
          <w:ilvl w:val="0"/>
          <w:numId w:val="4"/>
        </w:numPr>
        <w:spacing w:before="156" w:beforeLines="50"/>
        <w:ind w:left="5" w:firstLine="215"/>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起草阶段</w:t>
      </w:r>
      <w:r>
        <w:rPr>
          <w:rFonts w:hint="eastAsia" w:ascii="Times New Roman" w:hAnsi="Times New Roman" w:eastAsia="宋体" w:cs="Times New Roman"/>
          <w:sz w:val="24"/>
          <w:szCs w:val="24"/>
        </w:rPr>
        <w:t>（2024年10月—2025年</w:t>
      </w:r>
      <w:r>
        <w:rPr>
          <w:rFonts w:hint="eastAsia" w:ascii="Times New Roman" w:hAnsi="Times New Roman" w:eastAsia="宋体" w:cs="Times New Roman"/>
          <w:sz w:val="24"/>
          <w:szCs w:val="24"/>
          <w:lang w:val="en-US" w:eastAsia="zh-CN"/>
        </w:rPr>
        <w:t>7</w:t>
      </w:r>
      <w:r>
        <w:rPr>
          <w:rFonts w:hint="eastAsia" w:ascii="Times New Roman" w:hAnsi="Times New Roman" w:eastAsia="宋体" w:cs="Times New Roman"/>
          <w:sz w:val="24"/>
          <w:szCs w:val="24"/>
        </w:rPr>
        <w:t>月）</w:t>
      </w:r>
    </w:p>
    <w:p w14:paraId="414135B7">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2024年10月，中国电影科学技术研究所（中央宣传部电影技术质量检测所）根据任务通知和项目任务书，组织并启动了该项目，并邀请业内电影制版单位专家，共同成立了本标准起草组。</w:t>
      </w:r>
    </w:p>
    <w:p w14:paraId="7DB67FC0">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2024年11月，起草组</w:t>
      </w:r>
      <w:r>
        <w:rPr>
          <w:rFonts w:ascii="宋体" w:hAnsi="宋体" w:eastAsia="宋体" w:cs="宋体"/>
          <w:kern w:val="0"/>
          <w:sz w:val="24"/>
          <w:szCs w:val="24"/>
        </w:rPr>
        <w:t>召开内部研讨会，</w:t>
      </w:r>
      <w:r>
        <w:rPr>
          <w:rFonts w:hint="eastAsia" w:ascii="宋体" w:hAnsi="宋体" w:eastAsia="宋体" w:cs="宋体"/>
          <w:kern w:val="0"/>
          <w:sz w:val="24"/>
          <w:szCs w:val="24"/>
        </w:rPr>
        <w:t>针对</w:t>
      </w:r>
      <w:r>
        <w:rPr>
          <w:rFonts w:hint="eastAsia" w:ascii="Times New Roman" w:hAnsi="Times New Roman" w:eastAsia="宋体" w:cs="Times New Roman"/>
          <w:sz w:val="24"/>
          <w:szCs w:val="24"/>
        </w:rPr>
        <w:t>数字影院LED放映</w:t>
      </w:r>
      <w:r>
        <w:rPr>
          <w:rFonts w:hint="eastAsia" w:ascii="宋体" w:hAnsi="宋体" w:eastAsia="宋体" w:cs="宋体"/>
          <w:kern w:val="0"/>
          <w:sz w:val="24"/>
          <w:szCs w:val="24"/>
        </w:rPr>
        <w:t>数据包对LED影厅放映质量的影响进行评估，建议在制版项目标准草案中增加</w:t>
      </w:r>
      <w:r>
        <w:rPr>
          <w:rFonts w:hint="eastAsia" w:ascii="Times New Roman" w:hAnsi="Times New Roman" w:eastAsia="宋体" w:cs="Times New Roman"/>
          <w:sz w:val="24"/>
          <w:szCs w:val="24"/>
        </w:rPr>
        <w:t>数字影院LED放映</w:t>
      </w:r>
      <w:r>
        <w:rPr>
          <w:rFonts w:hint="eastAsia" w:ascii="宋体" w:hAnsi="宋体" w:eastAsia="宋体" w:cs="宋体"/>
          <w:kern w:val="0"/>
          <w:sz w:val="24"/>
          <w:szCs w:val="24"/>
        </w:rPr>
        <w:t>数据包的技术要求，并修改本标准名称，形成本标准工作组讨论稿草稿。</w:t>
      </w:r>
    </w:p>
    <w:p w14:paraId="5D4FD385">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2024年12月-2025年1月，中国电影科学技术研究所（中央宣传部电影技术质量检测所）与华夏电影发行有限责任公司联合承制“数字电影LED高质式版本制作实验室”正式落成并投入使用，起草组搭建完成数字影院LED放映发行母版制作和打包系统，并依据</w:t>
      </w:r>
      <w:r>
        <w:rPr>
          <w:rFonts w:hint="eastAsia" w:ascii="宋体" w:hAnsi="宋体" w:eastAsia="宋体" w:cs="宋体"/>
          <w:kern w:val="0"/>
          <w:sz w:val="24"/>
          <w:szCs w:val="24"/>
        </w:rPr>
        <w:t>本标准工作组讨论稿草稿</w:t>
      </w:r>
      <w:r>
        <w:rPr>
          <w:rFonts w:hint="eastAsia" w:ascii="Times New Roman" w:hAnsi="Times New Roman" w:eastAsia="宋体" w:cs="Times New Roman"/>
          <w:sz w:val="24"/>
          <w:szCs w:val="24"/>
        </w:rPr>
        <w:t>在该系统中开展制版和打包实验，并完成《雄狮少年2》、《封神2》等院线电影的制版和打包。</w:t>
      </w:r>
    </w:p>
    <w:p w14:paraId="5A728F60">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2025年2月-3月，起草组征求制版单位专家的意见，</w:t>
      </w:r>
      <w:r>
        <w:rPr>
          <w:rFonts w:hint="eastAsia" w:ascii="宋体" w:hAnsi="宋体" w:eastAsia="宋体" w:cs="宋体"/>
          <w:kern w:val="0"/>
          <w:sz w:val="24"/>
          <w:szCs w:val="24"/>
        </w:rPr>
        <w:t>根据意见</w:t>
      </w:r>
      <w:r>
        <w:rPr>
          <w:rFonts w:hint="eastAsia" w:ascii="Times New Roman" w:hAnsi="Times New Roman" w:eastAsia="宋体" w:cs="Times New Roman"/>
          <w:sz w:val="24"/>
          <w:szCs w:val="24"/>
        </w:rPr>
        <w:t>对</w:t>
      </w:r>
      <w:r>
        <w:rPr>
          <w:rFonts w:hint="eastAsia" w:ascii="宋体" w:hAnsi="宋体" w:eastAsia="宋体" w:cs="宋体"/>
          <w:kern w:val="0"/>
          <w:sz w:val="24"/>
          <w:szCs w:val="24"/>
        </w:rPr>
        <w:t>本标准工作组讨论稿草稿</w:t>
      </w:r>
      <w:r>
        <w:rPr>
          <w:rFonts w:hint="eastAsia" w:ascii="Times New Roman" w:hAnsi="Times New Roman" w:eastAsia="宋体" w:cs="Times New Roman"/>
          <w:sz w:val="24"/>
          <w:szCs w:val="24"/>
        </w:rPr>
        <w:t>部分指标进行了修改和完善，形成</w:t>
      </w:r>
      <w:r>
        <w:rPr>
          <w:rFonts w:hint="eastAsia" w:ascii="宋体" w:hAnsi="宋体" w:eastAsia="宋体" w:cs="宋体"/>
          <w:kern w:val="0"/>
          <w:sz w:val="24"/>
          <w:szCs w:val="24"/>
        </w:rPr>
        <w:t>本标准工作组讨论稿</w:t>
      </w:r>
      <w:r>
        <w:rPr>
          <w:rFonts w:hint="eastAsia" w:ascii="Times New Roman" w:hAnsi="Times New Roman" w:eastAsia="宋体" w:cs="Times New Roman"/>
          <w:sz w:val="24"/>
          <w:szCs w:val="24"/>
        </w:rPr>
        <w:t>。</w:t>
      </w:r>
    </w:p>
    <w:p w14:paraId="4E051C3D">
      <w:pPr>
        <w:numPr>
          <w:ilvl w:val="255"/>
          <w:numId w:val="0"/>
        </w:numPr>
        <w:spacing w:line="380" w:lineRule="exact"/>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2025年4月，起草组将本标准工作组讨论稿报送电影标委会秘书处进行形式审查。经形式审查，秘书处指出，标准名称、主要技术内容与项目任务相比，增加了内容，有实质性变化，</w:t>
      </w:r>
      <w:bookmarkStart w:id="14" w:name="OLE_LINK4"/>
      <w:r>
        <w:rPr>
          <w:rFonts w:hint="eastAsia" w:ascii="Times New Roman" w:hAnsi="Times New Roman" w:eastAsia="宋体" w:cs="Times New Roman"/>
          <w:sz w:val="24"/>
          <w:szCs w:val="24"/>
        </w:rPr>
        <w:t>按照《电影国家标准/行业标准制修订计划项目工作程序和管理细则》</w:t>
      </w:r>
      <w:bookmarkEnd w:id="14"/>
      <w:r>
        <w:rPr>
          <w:rFonts w:hint="eastAsia" w:ascii="Times New Roman" w:hAnsi="Times New Roman" w:eastAsia="宋体" w:cs="Times New Roman"/>
          <w:sz w:val="24"/>
          <w:szCs w:val="24"/>
        </w:rPr>
        <w:t>，需履行标准项目调整手续。</w:t>
      </w:r>
    </w:p>
    <w:p w14:paraId="0A2EAE56">
      <w:pPr>
        <w:numPr>
          <w:ilvl w:val="255"/>
          <w:numId w:val="0"/>
        </w:numPr>
        <w:spacing w:line="380" w:lineRule="exact"/>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sz w:val="24"/>
          <w:szCs w:val="24"/>
        </w:rPr>
        <w:t>2025年5</w:t>
      </w:r>
      <w:r>
        <w:rPr>
          <w:rFonts w:hint="eastAsia" w:ascii="Times New Roman" w:hAnsi="Times New Roman" w:eastAsia="宋体" w:cs="Times New Roman"/>
          <w:sz w:val="24"/>
          <w:szCs w:val="24"/>
          <w:lang w:val="en-US" w:eastAsia="zh-CN"/>
        </w:rPr>
        <w:t>-7</w:t>
      </w:r>
      <w:r>
        <w:rPr>
          <w:rFonts w:hint="eastAsia" w:ascii="Times New Roman" w:hAnsi="Times New Roman" w:eastAsia="宋体" w:cs="Times New Roman"/>
          <w:sz w:val="24"/>
          <w:szCs w:val="24"/>
        </w:rPr>
        <w:t>月，</w:t>
      </w:r>
      <w:r>
        <w:rPr>
          <w:rFonts w:hint="eastAsia" w:ascii="Times New Roman" w:hAnsi="Times New Roman" w:eastAsia="宋体" w:cs="Times New Roman"/>
          <w:bCs/>
          <w:sz w:val="24"/>
          <w:szCs w:val="24"/>
        </w:rPr>
        <w:t>为了有效指导影片制作和打包工作，充分发挥LED放映系统的技术优势，提升LED影厅的放映效果，</w:t>
      </w:r>
      <w:r>
        <w:rPr>
          <w:rFonts w:hint="eastAsia" w:ascii="Times New Roman" w:hAnsi="Times New Roman" w:eastAsia="宋体" w:cs="Times New Roman"/>
          <w:sz w:val="24"/>
          <w:szCs w:val="24"/>
        </w:rPr>
        <w:t>经起草组申请，电影标委会、中宣部电影局批准，</w:t>
      </w:r>
      <w:r>
        <w:rPr>
          <w:rFonts w:hint="eastAsia" w:ascii="Times New Roman" w:hAnsi="Times New Roman" w:eastAsia="宋体" w:cs="Times New Roman"/>
          <w:bCs/>
          <w:sz w:val="24"/>
          <w:szCs w:val="24"/>
        </w:rPr>
        <w:t>本标准名称由《数字影院LED放映发行母版技术规范》修改为《数字影院LED放映发行母版和数据包技术规范》，增加了峰值码率、标题命名等数字影院LED数据包的技术要求。起草组将起草组内协商一致的工作组讨论稿报送至电影标委会秘书处，并抄送起草组成员。</w:t>
      </w:r>
    </w:p>
    <w:p w14:paraId="622908B2">
      <w:pPr>
        <w:numPr>
          <w:ilvl w:val="0"/>
          <w:numId w:val="4"/>
        </w:numPr>
        <w:spacing w:before="156" w:beforeLines="50"/>
        <w:ind w:left="5" w:firstLine="215"/>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征求意见阶段</w:t>
      </w:r>
      <w:r>
        <w:rPr>
          <w:rFonts w:hint="eastAsia" w:ascii="Times New Roman" w:hAnsi="Times New Roman" w:eastAsia="宋体" w:cs="Times New Roman"/>
          <w:sz w:val="24"/>
          <w:szCs w:val="24"/>
        </w:rPr>
        <w:t>（XXXX年XX月—XXXX年XX月）</w:t>
      </w:r>
    </w:p>
    <w:p w14:paraId="5B3F75C5">
      <w:pPr>
        <w:numPr>
          <w:ilvl w:val="255"/>
          <w:numId w:val="0"/>
        </w:numPr>
        <w:spacing w:line="380" w:lineRule="exact"/>
        <w:ind w:firstLine="480" w:firstLineChars="200"/>
        <w:rPr>
          <w:rFonts w:ascii="Times New Roman" w:hAnsi="Times New Roman" w:eastAsia="宋体" w:cs="Times New Roman"/>
          <w:color w:val="D9D9D9" w:themeColor="background1" w:themeShade="D9"/>
          <w:sz w:val="24"/>
          <w:szCs w:val="24"/>
        </w:rPr>
      </w:pPr>
      <w:r>
        <w:rPr>
          <w:rFonts w:hint="eastAsia" w:ascii="Times New Roman" w:hAnsi="Times New Roman" w:eastAsia="宋体" w:cs="Times New Roman"/>
          <w:color w:val="D9D9D9" w:themeColor="background1" w:themeShade="D9"/>
          <w:sz w:val="24"/>
          <w:szCs w:val="24"/>
        </w:rPr>
        <w:t>2025年5月，起草组征集电影制版、科研、建设、使用等xx个企事业单位，xx位行业专家意见。回函专家共xx人，未回函专家xx人，回函且有意见的专家xx人，反馈意见共xx条。起草组经过整理、汇总、处理，采纳意见xx条。其中重大或颠覆性技术意见0条；一般技术意见xx条，已采纳xx条，部分采纳xx条，未采纳xx条；编辑性意见xx条，已采纳xx条，部分采纳xx条，未采纳xx条。</w:t>
      </w:r>
    </w:p>
    <w:p w14:paraId="2C95EFFE">
      <w:pPr>
        <w:numPr>
          <w:ilvl w:val="255"/>
          <w:numId w:val="0"/>
        </w:numPr>
        <w:spacing w:line="380" w:lineRule="exact"/>
        <w:ind w:firstLine="480" w:firstLineChars="200"/>
        <w:rPr>
          <w:rFonts w:ascii="Times New Roman" w:hAnsi="Times New Roman" w:eastAsia="宋体" w:cs="Times New Roman"/>
          <w:color w:val="D9D9D9" w:themeColor="background1" w:themeShade="D9"/>
          <w:sz w:val="24"/>
          <w:szCs w:val="24"/>
        </w:rPr>
      </w:pPr>
      <w:r>
        <w:rPr>
          <w:rFonts w:hint="eastAsia" w:ascii="Times New Roman" w:hAnsi="Times New Roman" w:eastAsia="宋体" w:cs="Times New Roman"/>
          <w:color w:val="D9D9D9" w:themeColor="background1" w:themeShade="D9"/>
          <w:sz w:val="24"/>
          <w:szCs w:val="24"/>
        </w:rPr>
        <w:t>2025年6月，起草组根据专家意见对本标准征求意见稿进行了修改和完善，形成了本标准送审稿。</w:t>
      </w:r>
    </w:p>
    <w:p w14:paraId="0F24AC8E">
      <w:pPr>
        <w:numPr>
          <w:ilvl w:val="0"/>
          <w:numId w:val="4"/>
        </w:numPr>
        <w:spacing w:before="156" w:beforeLines="50"/>
        <w:ind w:left="5" w:firstLine="215"/>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审查阶段</w:t>
      </w:r>
      <w:r>
        <w:rPr>
          <w:rFonts w:hint="eastAsia" w:ascii="Times New Roman" w:hAnsi="Times New Roman" w:eastAsia="宋体" w:cs="Times New Roman"/>
          <w:sz w:val="24"/>
          <w:szCs w:val="24"/>
        </w:rPr>
        <w:t>（XXXX年XX月—XXXX年XX月）</w:t>
      </w:r>
    </w:p>
    <w:p w14:paraId="0CFC8FCB">
      <w:pPr>
        <w:numPr>
          <w:ilvl w:val="255"/>
          <w:numId w:val="0"/>
        </w:numPr>
        <w:spacing w:line="380" w:lineRule="exact"/>
        <w:ind w:firstLine="480" w:firstLineChars="200"/>
        <w:rPr>
          <w:rFonts w:ascii="Times New Roman" w:hAnsi="Times New Roman" w:eastAsia="宋体" w:cs="Times New Roman"/>
          <w:color w:val="D9D9D9" w:themeColor="background1" w:themeShade="D9"/>
          <w:sz w:val="24"/>
          <w:szCs w:val="24"/>
        </w:rPr>
      </w:pPr>
      <w:r>
        <w:rPr>
          <w:rFonts w:hint="eastAsia" w:ascii="Times New Roman" w:hAnsi="Times New Roman" w:eastAsia="宋体" w:cs="Times New Roman"/>
          <w:color w:val="D9D9D9" w:themeColor="background1" w:themeShade="D9"/>
          <w:sz w:val="24"/>
          <w:szCs w:val="24"/>
        </w:rPr>
        <w:t>2025年xx月xx日，电影局组织召开标准审查会，审查委员会一致认为该标准达到国际先进水平，同意通过审查，，建议起草工作组根据审查会专家意见尽快修改形成报批稿，上报国家电影局。</w:t>
      </w:r>
    </w:p>
    <w:p w14:paraId="502507CE">
      <w:pPr>
        <w:numPr>
          <w:ilvl w:val="255"/>
          <w:numId w:val="0"/>
        </w:numPr>
        <w:spacing w:line="380" w:lineRule="exact"/>
        <w:ind w:firstLine="480" w:firstLineChars="200"/>
        <w:rPr>
          <w:rFonts w:ascii="Times New Roman" w:hAnsi="Times New Roman" w:eastAsia="宋体" w:cs="Times New Roman"/>
          <w:color w:val="D9D9D9" w:themeColor="background1" w:themeShade="D9"/>
          <w:sz w:val="24"/>
          <w:szCs w:val="24"/>
        </w:rPr>
      </w:pPr>
      <w:r>
        <w:rPr>
          <w:rFonts w:hint="eastAsia" w:ascii="Times New Roman" w:hAnsi="Times New Roman" w:eastAsia="宋体" w:cs="Times New Roman"/>
          <w:color w:val="D9D9D9" w:themeColor="background1" w:themeShade="D9"/>
          <w:sz w:val="24"/>
          <w:szCs w:val="24"/>
        </w:rPr>
        <w:t>2025年10月，起草组根据审查专家意见，修改形成报批稿。</w:t>
      </w:r>
    </w:p>
    <w:p w14:paraId="37A9585B">
      <w:pPr>
        <w:numPr>
          <w:ilvl w:val="0"/>
          <w:numId w:val="4"/>
        </w:numPr>
        <w:spacing w:before="156" w:beforeLines="50"/>
        <w:ind w:left="5" w:firstLine="215"/>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报批阶段</w:t>
      </w:r>
      <w:r>
        <w:rPr>
          <w:rFonts w:hint="eastAsia" w:ascii="Times New Roman" w:hAnsi="Times New Roman" w:eastAsia="宋体" w:cs="Times New Roman"/>
          <w:sz w:val="24"/>
          <w:szCs w:val="24"/>
        </w:rPr>
        <w:t>（XXXX年XX月—XXXX年XX月）</w:t>
      </w:r>
    </w:p>
    <w:p w14:paraId="76AF71D3">
      <w:pPr>
        <w:numPr>
          <w:ilvl w:val="0"/>
          <w:numId w:val="4"/>
        </w:numPr>
        <w:spacing w:before="156" w:beforeLines="50"/>
        <w:ind w:left="5" w:firstLine="215"/>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发布阶段</w:t>
      </w:r>
      <w:r>
        <w:rPr>
          <w:rFonts w:hint="eastAsia" w:ascii="Times New Roman" w:hAnsi="Times New Roman" w:eastAsia="宋体" w:cs="Times New Roman"/>
          <w:sz w:val="24"/>
          <w:szCs w:val="24"/>
        </w:rPr>
        <w:t>（XXXX年XX月—XXXX年XX月）</w:t>
      </w:r>
    </w:p>
    <w:p w14:paraId="43AE9287">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15" w:name="_Toc24797"/>
      <w:r>
        <w:rPr>
          <w:rFonts w:hint="eastAsia" w:ascii="Times New Roman" w:hAnsi="Times New Roman" w:eastAsia="黑体" w:cs="Times New Roman"/>
          <w:b/>
          <w:bCs/>
          <w:color w:val="000000"/>
          <w:sz w:val="24"/>
          <w:szCs w:val="24"/>
        </w:rPr>
        <w:t>标准编制原则、主要技术内容及其确定依据</w:t>
      </w:r>
      <w:bookmarkEnd w:id="15"/>
    </w:p>
    <w:p w14:paraId="1B382E05">
      <w:pPr>
        <w:numPr>
          <w:ilvl w:val="0"/>
          <w:numId w:val="5"/>
        </w:numPr>
        <w:spacing w:before="156" w:beforeLines="50"/>
        <w:ind w:firstLine="0"/>
        <w:jc w:val="left"/>
        <w:outlineLvl w:val="1"/>
        <w:rPr>
          <w:rFonts w:ascii="Times New Roman" w:hAnsi="Times New Roman" w:eastAsia="宋体" w:cs="Times New Roman"/>
          <w:b/>
          <w:bCs/>
          <w:sz w:val="24"/>
          <w:szCs w:val="24"/>
        </w:rPr>
      </w:pPr>
      <w:bookmarkStart w:id="16" w:name="_Toc3698"/>
      <w:r>
        <w:rPr>
          <w:rFonts w:hint="eastAsia" w:ascii="Times New Roman" w:hAnsi="Times New Roman" w:eastAsia="宋体" w:cs="Times New Roman"/>
          <w:b/>
          <w:bCs/>
          <w:sz w:val="24"/>
          <w:szCs w:val="24"/>
        </w:rPr>
        <w:t>标准编制原则</w:t>
      </w:r>
      <w:bookmarkEnd w:id="16"/>
    </w:p>
    <w:p w14:paraId="554A3BA6">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本标准在编制过程中遵循了以下原则：</w:t>
      </w:r>
    </w:p>
    <w:p w14:paraId="1BDF343C">
      <w:pPr>
        <w:numPr>
          <w:ilvl w:val="0"/>
          <w:numId w:val="6"/>
        </w:numPr>
        <w:spacing w:line="380" w:lineRule="exact"/>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一致性：要求本标准与行业内的其他相关标准保持一致，并对未来相关标准的制定提供支持。</w:t>
      </w:r>
    </w:p>
    <w:p w14:paraId="5CE3AEF9">
      <w:pPr>
        <w:numPr>
          <w:ilvl w:val="0"/>
          <w:numId w:val="6"/>
        </w:numPr>
        <w:spacing w:line="380" w:lineRule="exact"/>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前瞻性：要求本标准在一定时间范围内，保持先进性和可用性。</w:t>
      </w:r>
    </w:p>
    <w:p w14:paraId="25BC63BF">
      <w:pPr>
        <w:numPr>
          <w:ilvl w:val="0"/>
          <w:numId w:val="6"/>
        </w:numPr>
        <w:spacing w:line="380" w:lineRule="exact"/>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准确性：要求本标准的规范和定义简练、准确，不引起歧义。</w:t>
      </w:r>
    </w:p>
    <w:p w14:paraId="474B4F55">
      <w:pPr>
        <w:numPr>
          <w:ilvl w:val="0"/>
          <w:numId w:val="6"/>
        </w:numPr>
        <w:spacing w:line="380" w:lineRule="exact"/>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可操作性：要求本标准提供的技术规定及实施方法具有可实现性和易操作性。</w:t>
      </w:r>
    </w:p>
    <w:p w14:paraId="2F2F4B84">
      <w:pPr>
        <w:numPr>
          <w:ilvl w:val="0"/>
          <w:numId w:val="5"/>
        </w:numPr>
        <w:spacing w:before="156" w:beforeLines="50"/>
        <w:ind w:firstLine="0"/>
        <w:jc w:val="left"/>
        <w:outlineLvl w:val="1"/>
        <w:rPr>
          <w:rFonts w:ascii="Times New Roman" w:hAnsi="Times New Roman" w:eastAsia="宋体" w:cs="Times New Roman"/>
          <w:b/>
          <w:bCs/>
          <w:sz w:val="24"/>
          <w:szCs w:val="24"/>
        </w:rPr>
      </w:pPr>
      <w:bookmarkStart w:id="17" w:name="_Toc26822"/>
      <w:r>
        <w:rPr>
          <w:rFonts w:hint="eastAsia" w:ascii="Times New Roman" w:hAnsi="Times New Roman" w:eastAsia="宋体" w:cs="Times New Roman"/>
          <w:b/>
          <w:bCs/>
          <w:sz w:val="24"/>
          <w:szCs w:val="24"/>
        </w:rPr>
        <w:t>主要技术内容及其确定依据</w:t>
      </w:r>
      <w:bookmarkEnd w:id="17"/>
    </w:p>
    <w:p w14:paraId="4470E669">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制版监视用基准LED放映系统：为了实现本标准的LED制版要求，充分展现数字影院LED放映系统的技术优势，需要将目前电影内容制版环境采用的“投影机+银幕”放映系统，更换为基准LED放映系统。且为保障制版与影厅放映效果的一致性，制版监视用基准LED放映系统的光学性能技术要求应符合DY/T 8—2023的要求。</w:t>
      </w:r>
    </w:p>
    <w:p w14:paraId="3A4433B8">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图像特性：LED放映系统具有高亮度、高对比度、高动态范围等技术优势，为高新技术格式在影院的应用提供了技术载体。为了完美匹配并充分发挥LED放映系统的技术优势和高质量画面效果，项目组在制版标准编制过程中，增加了HDR色坐标值、换算公式、编码值等技术要求。这些增加的技术内容在院线影片制版过程中得到了有效验证，能够提供更清晰的图像细节、更丰富的图像层次和更震撼的画面冲击力，充分呈现LED放映系统的技术优势，为观众带来更具沉浸感的观影体验。</w:t>
      </w:r>
    </w:p>
    <w:p w14:paraId="6580F10F">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声学特性：目前传统的声学制版技术主要为5.1或7.1声道等基于通道的制作方式。相比之下，基于基础声床、元数据和对象的沉浸式音频制作与还音技术，具有制作便捷、扬声器布局灵活和定位精准等显著优势，已成为数字电影沉浸式音频发展的主流趋势。国内音频技术企业也纷纷推出了自有沉浸声还音系统，如中国多维声、Wanos全景声、全息声、22.5.8全景声、飞达六面声等。随着沉浸式音频技术的不断发展，沉浸声系统已成为我国影院的热门配置。为了为观众提供更加真实、立体、自然逼真的听觉体验，同时推动我国自主知识产权沉浸式音频核心关键技术的推广和发展，项目组增加了沉浸式音频制作和打包的技术要求。</w:t>
      </w:r>
    </w:p>
    <w:p w14:paraId="1EACB6C6">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w:t>
      </w:r>
      <w:r>
        <w:rPr>
          <w:rFonts w:ascii="Times New Roman" w:hAnsi="Times New Roman" w:eastAsia="宋体" w:cs="Times New Roman"/>
          <w:sz w:val="24"/>
          <w:szCs w:val="24"/>
        </w:rPr>
        <w:t>数字影院LED数据包峰值码率</w:t>
      </w:r>
      <w:r>
        <w:rPr>
          <w:rFonts w:hint="eastAsia" w:ascii="Times New Roman" w:hAnsi="Times New Roman" w:eastAsia="宋体" w:cs="Times New Roman"/>
          <w:sz w:val="24"/>
          <w:szCs w:val="24"/>
        </w:rPr>
        <w:t>：根据GD/J 017—2007的规定，24fps DCP包的峰值码率为250Mbps，而DCI高帧率推荐规范中指出，高帧率DCP包的峰值码率为500Mbps。为了提供更丰富的图像细节和更细腻的色彩过渡，尤其是在快速动作场景中减少运动模糊和伪影，从而提升观众的视觉体验，项目组将LED放映系统中24fps和48fps DCP包的峰值码率统一设定为500Mbps，并进行了试验。结果表明，目前的LED放映系统基本都能满足这一播放需求，且影片运动场景画面流畅度和清晰度大幅提升。项目组对60fps、96fps、120fps的DCP包也采用翻倍的峰值码率进行规定。</w:t>
      </w:r>
    </w:p>
    <w:p w14:paraId="62EC9A1A">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w:t>
      </w:r>
      <w:r>
        <w:rPr>
          <w:rFonts w:ascii="Times New Roman" w:hAnsi="Times New Roman" w:eastAsia="宋体" w:cs="Times New Roman"/>
          <w:sz w:val="24"/>
          <w:szCs w:val="24"/>
        </w:rPr>
        <w:t>标题命名规则</w:t>
      </w:r>
      <w:r>
        <w:rPr>
          <w:rFonts w:hint="eastAsia" w:ascii="Times New Roman" w:hAnsi="Times New Roman" w:eastAsia="宋体" w:cs="Times New Roman"/>
          <w:sz w:val="24"/>
          <w:szCs w:val="24"/>
        </w:rPr>
        <w:t>：传统DCP包标题命名规则应符合GY/T 309—2017的要求。但对于LED制版，应增加相应的字段以区分普通版本。由于原DCP标题内容中其他字段均已包含影片名称、影片图像和声音格式、制作单位等重要因素。项目组评估第7字段“出品单位”在DCP包标题命名时基本不用，因此将其替换为影片版本类型“SDR-LED”或“HDR-LED”。</w:t>
      </w:r>
    </w:p>
    <w:p w14:paraId="29E0BEEC">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6）HDR Vivid色坐标值：LED发光波长范围较窄，能够实现更高的色纯度和更广的色域覆盖，再加上发光材料、小点间距、芯片发光效率、色度矫正技术、面板制造工艺等技术发展的加持，LED显示屏在支持P3色域的同时，具备了进一步扩展至BT.2020色域的潜力。因此项目组在标准附录中增加HDR Vivid的BT.2020色坐标值要求，可为未来LED制版和影厅放映技术升级和多功能拓展应用提供技术储备，使标准更具先进性和前瞻性。</w:t>
      </w:r>
    </w:p>
    <w:p w14:paraId="2E0937A8">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18" w:name="_Toc14847"/>
      <w:r>
        <w:rPr>
          <w:rFonts w:hint="eastAsia" w:ascii="Times New Roman" w:hAnsi="Times New Roman" w:eastAsia="黑体" w:cs="Times New Roman"/>
          <w:b/>
          <w:bCs/>
          <w:color w:val="000000"/>
          <w:sz w:val="24"/>
          <w:szCs w:val="24"/>
        </w:rPr>
        <w:t>主要调研、试验验证分析和技术经济论证</w:t>
      </w:r>
      <w:bookmarkEnd w:id="18"/>
    </w:p>
    <w:p w14:paraId="32A8EC4B">
      <w:pPr>
        <w:numPr>
          <w:ilvl w:val="0"/>
          <w:numId w:val="7"/>
        </w:numPr>
        <w:spacing w:before="156" w:beforeLines="50"/>
        <w:ind w:firstLine="0"/>
        <w:jc w:val="left"/>
        <w:outlineLvl w:val="1"/>
        <w:rPr>
          <w:rFonts w:ascii="Times New Roman" w:hAnsi="Times New Roman" w:eastAsia="宋体" w:cs="Times New Roman"/>
          <w:b/>
          <w:bCs/>
          <w:sz w:val="24"/>
          <w:szCs w:val="24"/>
        </w:rPr>
      </w:pPr>
      <w:bookmarkStart w:id="19" w:name="_Toc18790"/>
      <w:r>
        <w:rPr>
          <w:rFonts w:hint="eastAsia" w:ascii="Times New Roman" w:hAnsi="Times New Roman" w:eastAsia="宋体" w:cs="Times New Roman"/>
          <w:b/>
          <w:bCs/>
          <w:sz w:val="24"/>
          <w:szCs w:val="24"/>
        </w:rPr>
        <w:t>调研分析</w:t>
      </w:r>
      <w:bookmarkEnd w:id="19"/>
    </w:p>
    <w:p w14:paraId="157DBEEF">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LED影厅放映时，如果不对影片内容进行专属制版，播放传统SDR影片时，LED系统应有的高亮度、高动态范围、高对比度等特性不仅无法体现，还可能因放映设置不匹配或单方面提高LED屏显示亮度，导致画面高光部分过亮、暗部不够暗，以及24帧率影片的运动卡顿等问题，无法展现LED的优势。项目组使用STEM 2测试序列开展测试，通过不同亮度的LED放映系统放映SDR影片，结果表明，进行LED HDR发行母版的制版工作迫在眉睫。不同亮度（48cd/m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和300cd/m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）的LED放映系统放映SDR（48cd/m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）影片的效果见下图。</w:t>
      </w:r>
    </w:p>
    <w:p w14:paraId="14128775">
      <w:pPr>
        <w:numPr>
          <w:ilvl w:val="0"/>
          <w:numId w:val="7"/>
        </w:numPr>
        <w:spacing w:before="156" w:beforeLines="50"/>
        <w:ind w:firstLine="0"/>
        <w:jc w:val="left"/>
        <w:outlineLvl w:val="1"/>
        <w:rPr>
          <w:rFonts w:ascii="Times New Roman" w:hAnsi="Times New Roman" w:eastAsia="宋体" w:cs="Times New Roman"/>
          <w:b/>
          <w:bCs/>
          <w:sz w:val="24"/>
          <w:szCs w:val="24"/>
        </w:rPr>
      </w:pPr>
      <w:bookmarkStart w:id="20" w:name="_Toc26349"/>
      <w:r>
        <w:rPr>
          <w:rFonts w:hint="eastAsia" w:ascii="Times New Roman" w:hAnsi="Times New Roman" w:eastAsia="宋体" w:cs="Times New Roman"/>
          <w:sz w:val="24"/>
          <w:szCs w:val="24"/>
        </w:rPr>
        <w:drawing>
          <wp:anchor distT="0" distB="0" distL="114300" distR="114300" simplePos="0" relativeHeight="251660288" behindDoc="0" locked="0" layoutInCell="1" allowOverlap="1">
            <wp:simplePos x="0" y="0"/>
            <wp:positionH relativeFrom="column">
              <wp:posOffset>23495</wp:posOffset>
            </wp:positionH>
            <wp:positionV relativeFrom="paragraph">
              <wp:posOffset>81280</wp:posOffset>
            </wp:positionV>
            <wp:extent cx="5613400" cy="1563370"/>
            <wp:effectExtent l="0" t="0" r="6350" b="1778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613400" cy="1563370"/>
                    </a:xfrm>
                    <a:prstGeom prst="rect">
                      <a:avLst/>
                    </a:prstGeom>
                    <a:noFill/>
                    <a:ln>
                      <a:noFill/>
                    </a:ln>
                  </pic:spPr>
                </pic:pic>
              </a:graphicData>
            </a:graphic>
          </wp:anchor>
        </w:drawing>
      </w:r>
      <w:r>
        <w:rPr>
          <w:rFonts w:hint="eastAsia" w:ascii="Times New Roman" w:hAnsi="Times New Roman" w:eastAsia="宋体" w:cs="Times New Roman"/>
          <w:b/>
          <w:bCs/>
          <w:sz w:val="24"/>
          <w:szCs w:val="24"/>
        </w:rPr>
        <w:t>试验验证分析</w:t>
      </w:r>
      <w:bookmarkEnd w:id="20"/>
    </w:p>
    <w:p w14:paraId="25E34290">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为充分发挥LED影厅的技术优势和高质量画面效果，项目组以LED影厅放映技术标准为应用基础，联合华夏电影发行公司和华夏利亚德公司，围绕国产LED电影放映、DCI HDR、基于基础声床+元数据+对象的国产沉浸式音频特效等关键技术，搭建了1套数字电影LED影厅制版系统，开展LED HDR发行母版的研发和制版工作。</w:t>
      </w:r>
    </w:p>
    <w:p w14:paraId="1A7D447D">
      <w:pPr>
        <w:numPr>
          <w:ilvl w:val="255"/>
          <w:numId w:val="0"/>
        </w:numPr>
        <w:spacing w:line="380" w:lineRule="exact"/>
        <w:ind w:firstLine="420" w:firstLineChars="200"/>
        <w:rPr>
          <w:rFonts w:ascii="Times New Roman" w:hAnsi="Times New Roman" w:eastAsia="宋体" w:cs="Times New Roman"/>
          <w:sz w:val="24"/>
          <w:szCs w:val="24"/>
        </w:rPr>
      </w:pPr>
      <w:r>
        <w:drawing>
          <wp:anchor distT="0" distB="0" distL="114300" distR="114300" simplePos="0" relativeHeight="251661312" behindDoc="0" locked="0" layoutInCell="1" allowOverlap="1">
            <wp:simplePos x="0" y="0"/>
            <wp:positionH relativeFrom="column">
              <wp:posOffset>3175</wp:posOffset>
            </wp:positionH>
            <wp:positionV relativeFrom="paragraph">
              <wp:posOffset>276860</wp:posOffset>
            </wp:positionV>
            <wp:extent cx="5600700" cy="1277620"/>
            <wp:effectExtent l="0" t="0" r="0" b="1778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
                    <a:stretch>
                      <a:fillRect/>
                    </a:stretch>
                  </pic:blipFill>
                  <pic:spPr>
                    <a:xfrm>
                      <a:off x="0" y="0"/>
                      <a:ext cx="5600700" cy="1277620"/>
                    </a:xfrm>
                    <a:prstGeom prst="rect">
                      <a:avLst/>
                    </a:prstGeom>
                    <a:noFill/>
                    <a:ln>
                      <a:noFill/>
                    </a:ln>
                  </pic:spPr>
                </pic:pic>
              </a:graphicData>
            </a:graphic>
          </wp:anchor>
        </w:drawing>
      </w:r>
      <w:r>
        <w:rPr>
          <w:rFonts w:hint="eastAsia" w:ascii="Times New Roman" w:hAnsi="Times New Roman" w:eastAsia="宋体" w:cs="Times New Roman"/>
          <w:sz w:val="24"/>
          <w:szCs w:val="24"/>
        </w:rPr>
        <w:t>LED影厅发行母版SDR和HDR图像制版研究技术路线见下图。</w:t>
      </w:r>
    </w:p>
    <w:p w14:paraId="52B92F66">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项目组在STEM 2测试序列制版环节对分辨率、亮度、高动态范围和帧率等指标进行了处理和优化，制作出LED HDR版本的STEM 2测试序列，通过LED放映系统放映匹配亮度影片的效果，可以得出LED HDR版本影片在LED电影屏上呈现出与常规版本影片差异明显的放映效果。LED放映系统放映匹配的SDR（48cd/m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）和HDR（300cd/m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）影片的效果见下图。</w:t>
      </w:r>
    </w:p>
    <w:p w14:paraId="255C3A8B">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项目组在“数字电影LED高质量版本制作实验室”，采用4K 48帧HDR技术对《封神2》进行了HDR LED制版。结果显示，HDR LED制版能够显著提升画面的清晰度、流畅度和色彩表现，更好地呈现LED放映系统的技术优势。</w:t>
      </w:r>
    </w:p>
    <w:p w14:paraId="5E3E9BD8">
      <w:pPr>
        <w:numPr>
          <w:ilvl w:val="255"/>
          <w:numId w:val="0"/>
        </w:numPr>
        <w:spacing w:line="380" w:lineRule="exact"/>
        <w:ind w:firstLine="420" w:firstLineChars="200"/>
        <w:rPr>
          <w:rFonts w:ascii="Times New Roman" w:hAnsi="Times New Roman" w:eastAsia="宋体" w:cs="Times New Roman"/>
          <w:sz w:val="24"/>
          <w:szCs w:val="24"/>
        </w:rPr>
      </w:pPr>
      <w:r>
        <w:drawing>
          <wp:anchor distT="0" distB="0" distL="114300" distR="114300" simplePos="0" relativeHeight="251659264" behindDoc="0" locked="0" layoutInCell="1" allowOverlap="1">
            <wp:simplePos x="0" y="0"/>
            <wp:positionH relativeFrom="column">
              <wp:posOffset>41275</wp:posOffset>
            </wp:positionH>
            <wp:positionV relativeFrom="paragraph">
              <wp:posOffset>3303270</wp:posOffset>
            </wp:positionV>
            <wp:extent cx="5648960" cy="2237105"/>
            <wp:effectExtent l="0" t="0" r="8890" b="10795"/>
            <wp:wrapTopAndBottom/>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7"/>
                    <a:stretch>
                      <a:fillRect/>
                    </a:stretch>
                  </pic:blipFill>
                  <pic:spPr>
                    <a:xfrm>
                      <a:off x="0" y="0"/>
                      <a:ext cx="5648960" cy="2237105"/>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56515</wp:posOffset>
            </wp:positionH>
            <wp:positionV relativeFrom="paragraph">
              <wp:posOffset>1823085</wp:posOffset>
            </wp:positionV>
            <wp:extent cx="5608955" cy="1405890"/>
            <wp:effectExtent l="0" t="0" r="10795" b="3810"/>
            <wp:wrapSquare wrapText="bothSides"/>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8"/>
                    <a:stretch>
                      <a:fillRect/>
                    </a:stretch>
                  </pic:blipFill>
                  <pic:spPr>
                    <a:xfrm>
                      <a:off x="0" y="0"/>
                      <a:ext cx="5608955" cy="140589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60325</wp:posOffset>
            </wp:positionH>
            <wp:positionV relativeFrom="paragraph">
              <wp:posOffset>43815</wp:posOffset>
            </wp:positionV>
            <wp:extent cx="5606415" cy="1637030"/>
            <wp:effectExtent l="0" t="0" r="13335" b="1270"/>
            <wp:wrapSquare wrapText="bothSides"/>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5606415" cy="1637030"/>
                    </a:xfrm>
                    <a:prstGeom prst="rect">
                      <a:avLst/>
                    </a:prstGeom>
                    <a:noFill/>
                    <a:ln>
                      <a:noFill/>
                    </a:ln>
                  </pic:spPr>
                </pic:pic>
              </a:graphicData>
            </a:graphic>
          </wp:anchor>
        </w:drawing>
      </w:r>
    </w:p>
    <w:p w14:paraId="22ED93E6">
      <w:pPr>
        <w:numPr>
          <w:ilvl w:val="0"/>
          <w:numId w:val="7"/>
        </w:numPr>
        <w:spacing w:before="156" w:beforeLines="50"/>
        <w:ind w:firstLine="0"/>
        <w:jc w:val="left"/>
        <w:outlineLvl w:val="1"/>
        <w:rPr>
          <w:rFonts w:ascii="Times New Roman" w:hAnsi="Times New Roman" w:eastAsia="宋体" w:cs="Times New Roman"/>
          <w:b/>
          <w:bCs/>
          <w:sz w:val="24"/>
          <w:szCs w:val="24"/>
        </w:rPr>
      </w:pPr>
      <w:bookmarkStart w:id="21" w:name="_Toc27725"/>
      <w:r>
        <w:rPr>
          <w:rFonts w:hint="eastAsia" w:ascii="Times New Roman" w:hAnsi="Times New Roman" w:eastAsia="宋体" w:cs="Times New Roman"/>
          <w:b/>
          <w:bCs/>
          <w:sz w:val="24"/>
          <w:szCs w:val="24"/>
        </w:rPr>
        <w:t>技术经济论证</w:t>
      </w:r>
      <w:bookmarkEnd w:id="21"/>
    </w:p>
    <w:p w14:paraId="0F4F9DA6">
      <w:pPr>
        <w:numPr>
          <w:ilvl w:val="255"/>
          <w:numId w:val="0"/>
        </w:numPr>
        <w:spacing w:line="380" w:lineRule="exact"/>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中国电影科学技术研究所（中央宣传部电影技术质量检测所）与华夏电影发行有限责任公司联合承制“数字电影LED高质式版本制作实验室”正式落成并投入使用，起草组搭建完成数字影院LED放映发行母版制作和打包系统，并依据本标准在该系统中开展制版和打包实验，并完成</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长安的荔枝</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聊斋 蓝若寺</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《雄狮少年2》、《窗前明月，咣》《封神2》等多部HDR LED版本院线影片的制版和打包。</w:t>
      </w:r>
    </w:p>
    <w:p w14:paraId="09BCC6A9">
      <w:pPr>
        <w:numPr>
          <w:ilvl w:val="255"/>
          <w:numId w:val="0"/>
        </w:numPr>
        <w:spacing w:line="380" w:lineRule="exact"/>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anchor distT="0" distB="0" distL="114300" distR="114300" simplePos="0" relativeHeight="251664384" behindDoc="0" locked="0" layoutInCell="1" allowOverlap="1">
            <wp:simplePos x="0" y="0"/>
            <wp:positionH relativeFrom="column">
              <wp:posOffset>257175</wp:posOffset>
            </wp:positionH>
            <wp:positionV relativeFrom="paragraph">
              <wp:posOffset>114935</wp:posOffset>
            </wp:positionV>
            <wp:extent cx="4834255" cy="2581910"/>
            <wp:effectExtent l="0" t="0" r="4445" b="8890"/>
            <wp:wrapSquare wrapText="bothSides"/>
            <wp:docPr id="3" name="图片 3" descr="175369138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53691383550"/>
                    <pic:cNvPicPr>
                      <a:picLocks noChangeAspect="1"/>
                    </pic:cNvPicPr>
                  </pic:nvPicPr>
                  <pic:blipFill>
                    <a:blip r:embed="rId10"/>
                    <a:stretch>
                      <a:fillRect/>
                    </a:stretch>
                  </pic:blipFill>
                  <pic:spPr>
                    <a:xfrm>
                      <a:off x="0" y="0"/>
                      <a:ext cx="4834255" cy="2581910"/>
                    </a:xfrm>
                    <a:prstGeom prst="rect">
                      <a:avLst/>
                    </a:prstGeom>
                  </pic:spPr>
                </pic:pic>
              </a:graphicData>
            </a:graphic>
          </wp:anchor>
        </w:drawing>
      </w:r>
    </w:p>
    <w:p w14:paraId="3C30C7B6">
      <w:pPr>
        <w:numPr>
          <w:ilvl w:val="255"/>
          <w:numId w:val="0"/>
        </w:numPr>
        <w:spacing w:line="380" w:lineRule="exact"/>
        <w:ind w:firstLine="480" w:firstLineChars="200"/>
        <w:rPr>
          <w:rFonts w:hint="eastAsia" w:ascii="Times New Roman" w:hAnsi="Times New Roman" w:eastAsia="宋体" w:cs="Times New Roman"/>
          <w:sz w:val="24"/>
          <w:szCs w:val="24"/>
        </w:rPr>
      </w:pPr>
    </w:p>
    <w:p w14:paraId="594C6CC3">
      <w:pPr>
        <w:numPr>
          <w:ilvl w:val="255"/>
          <w:numId w:val="0"/>
        </w:numPr>
        <w:spacing w:line="380" w:lineRule="exact"/>
        <w:ind w:firstLine="480" w:firstLineChars="200"/>
        <w:rPr>
          <w:rFonts w:hint="eastAsia" w:ascii="Times New Roman" w:hAnsi="Times New Roman" w:eastAsia="宋体" w:cs="Times New Roman"/>
          <w:sz w:val="24"/>
          <w:szCs w:val="24"/>
        </w:rPr>
      </w:pPr>
    </w:p>
    <w:p w14:paraId="1B88F0CD">
      <w:pPr>
        <w:numPr>
          <w:ilvl w:val="255"/>
          <w:numId w:val="0"/>
        </w:numPr>
        <w:spacing w:line="380" w:lineRule="exact"/>
        <w:ind w:firstLine="480" w:firstLineChars="200"/>
        <w:rPr>
          <w:rFonts w:hint="eastAsia" w:ascii="Times New Roman" w:hAnsi="Times New Roman" w:eastAsia="宋体" w:cs="Times New Roman"/>
          <w:sz w:val="24"/>
          <w:szCs w:val="24"/>
        </w:rPr>
      </w:pPr>
    </w:p>
    <w:p w14:paraId="475795AF">
      <w:pPr>
        <w:numPr>
          <w:ilvl w:val="255"/>
          <w:numId w:val="0"/>
        </w:numPr>
        <w:spacing w:line="380" w:lineRule="exact"/>
        <w:ind w:firstLine="480" w:firstLineChars="200"/>
        <w:rPr>
          <w:rFonts w:hint="eastAsia" w:ascii="Times New Roman" w:hAnsi="Times New Roman" w:eastAsia="宋体" w:cs="Times New Roman"/>
          <w:sz w:val="24"/>
          <w:szCs w:val="24"/>
        </w:rPr>
      </w:pPr>
    </w:p>
    <w:p w14:paraId="6CB469E6">
      <w:pPr>
        <w:numPr>
          <w:ilvl w:val="255"/>
          <w:numId w:val="0"/>
        </w:numPr>
        <w:spacing w:line="380" w:lineRule="exact"/>
        <w:ind w:firstLine="480" w:firstLineChars="200"/>
        <w:rPr>
          <w:rFonts w:hint="eastAsia" w:ascii="Times New Roman" w:hAnsi="Times New Roman" w:eastAsia="宋体" w:cs="Times New Roman"/>
          <w:sz w:val="24"/>
          <w:szCs w:val="24"/>
        </w:rPr>
      </w:pPr>
    </w:p>
    <w:p w14:paraId="4CFB0245">
      <w:pPr>
        <w:numPr>
          <w:ilvl w:val="255"/>
          <w:numId w:val="0"/>
        </w:numPr>
        <w:spacing w:line="380" w:lineRule="exact"/>
        <w:ind w:firstLine="480" w:firstLineChars="200"/>
        <w:rPr>
          <w:rFonts w:hint="eastAsia" w:ascii="Times New Roman" w:hAnsi="Times New Roman" w:eastAsia="宋体" w:cs="Times New Roman"/>
          <w:sz w:val="24"/>
          <w:szCs w:val="24"/>
        </w:rPr>
      </w:pPr>
    </w:p>
    <w:p w14:paraId="6AD446AD">
      <w:pPr>
        <w:numPr>
          <w:ilvl w:val="255"/>
          <w:numId w:val="0"/>
        </w:numPr>
        <w:spacing w:line="380" w:lineRule="exact"/>
        <w:ind w:firstLine="480" w:firstLineChars="200"/>
        <w:rPr>
          <w:rFonts w:hint="eastAsia" w:ascii="Times New Roman" w:hAnsi="Times New Roman" w:eastAsia="宋体" w:cs="Times New Roman"/>
          <w:sz w:val="24"/>
          <w:szCs w:val="24"/>
        </w:rPr>
      </w:pPr>
    </w:p>
    <w:p w14:paraId="5EA0ABAE">
      <w:pPr>
        <w:numPr>
          <w:ilvl w:val="255"/>
          <w:numId w:val="0"/>
        </w:numPr>
        <w:spacing w:line="380" w:lineRule="exact"/>
        <w:ind w:firstLine="480" w:firstLineChars="200"/>
        <w:rPr>
          <w:rFonts w:hint="eastAsia" w:ascii="Times New Roman" w:hAnsi="Times New Roman" w:eastAsia="宋体" w:cs="Times New Roman"/>
          <w:sz w:val="24"/>
          <w:szCs w:val="24"/>
        </w:rPr>
      </w:pPr>
    </w:p>
    <w:p w14:paraId="3E68E646">
      <w:pPr>
        <w:numPr>
          <w:ilvl w:val="255"/>
          <w:numId w:val="0"/>
        </w:numPr>
        <w:spacing w:line="380" w:lineRule="exact"/>
        <w:ind w:firstLine="480" w:firstLineChars="200"/>
        <w:rPr>
          <w:rFonts w:hint="eastAsia" w:ascii="Times New Roman" w:hAnsi="Times New Roman" w:eastAsia="宋体" w:cs="Times New Roman"/>
          <w:sz w:val="24"/>
          <w:szCs w:val="24"/>
        </w:rPr>
      </w:pPr>
    </w:p>
    <w:p w14:paraId="3ADB863A">
      <w:pPr>
        <w:numPr>
          <w:ilvl w:val="255"/>
          <w:numId w:val="0"/>
        </w:numPr>
        <w:spacing w:line="380" w:lineRule="exact"/>
        <w:ind w:firstLine="480" w:firstLineChars="200"/>
        <w:rPr>
          <w:rFonts w:hint="eastAsia" w:ascii="Times New Roman" w:hAnsi="Times New Roman" w:eastAsia="宋体" w:cs="Times New Roman"/>
          <w:sz w:val="24"/>
          <w:szCs w:val="24"/>
        </w:rPr>
      </w:pPr>
    </w:p>
    <w:p w14:paraId="57169EFB">
      <w:pPr>
        <w:numPr>
          <w:ilvl w:val="255"/>
          <w:numId w:val="0"/>
        </w:numPr>
        <w:spacing w:line="380" w:lineRule="exact"/>
        <w:ind w:firstLine="480" w:firstLineChars="200"/>
        <w:rPr>
          <w:rFonts w:hint="eastAsia" w:ascii="Times New Roman" w:hAnsi="Times New Roman" w:eastAsia="宋体" w:cs="Times New Roman"/>
          <w:sz w:val="24"/>
          <w:szCs w:val="24"/>
        </w:rPr>
      </w:pPr>
    </w:p>
    <w:p w14:paraId="7C5F9A87">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22" w:name="_Toc16065"/>
      <w:r>
        <w:rPr>
          <w:rFonts w:hint="eastAsia" w:ascii="Times New Roman" w:hAnsi="Times New Roman" w:eastAsia="黑体" w:cs="Times New Roman"/>
          <w:b/>
          <w:bCs/>
          <w:color w:val="000000"/>
          <w:sz w:val="24"/>
          <w:szCs w:val="24"/>
        </w:rPr>
        <w:t>国内外相关技术及标准发展现状及对比分析</w:t>
      </w:r>
      <w:bookmarkEnd w:id="22"/>
    </w:p>
    <w:p w14:paraId="7AB83A34">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目前，国内外电影行业尚未发布任何关于LED影院发行母版和数据包的技术规范。现行的影院制版和打包标准，如GY/T 292.1—2015/ISO 26428-1:2008、GY/T 292.2—2015/ISO 26428-2:2008、GY/T 293.1—2015/ISO 26429-3:2008、DY/T 2.3—2020、DY/T 2.4—2020、DY/T 2.5—2020、DY/T 2.6—2020、DY/T 2.7—2020等，均是基于影院SDR（标准动态范围）“投影机+银幕”放映系统的标准。而DY/T 8—2023是针对DCI HDR（高动态范围）模式的影院LED放映系统标准。此外，DCI High Dynamic Range D-Cinema Addendum规定了HDR的编码要求，SMPTE 2084则规定了HDR的EOTF（电光转换函数）曲线。以上标准均可为本标准的制定提供技术参考。</w:t>
      </w:r>
    </w:p>
    <w:p w14:paraId="089DE530">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23" w:name="_Toc27229"/>
      <w:r>
        <w:rPr>
          <w:rFonts w:hint="eastAsia" w:ascii="Times New Roman" w:hAnsi="Times New Roman" w:eastAsia="黑体" w:cs="Times New Roman"/>
          <w:b/>
          <w:bCs/>
          <w:color w:val="000000"/>
          <w:sz w:val="24"/>
          <w:szCs w:val="24"/>
        </w:rPr>
        <w:t>采用国际标准或国外先进标准情况</w:t>
      </w:r>
      <w:bookmarkEnd w:id="23"/>
    </w:p>
    <w:p w14:paraId="2C6E2580">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无。</w:t>
      </w:r>
    </w:p>
    <w:p w14:paraId="18A168C8">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24" w:name="_Toc24209"/>
      <w:r>
        <w:rPr>
          <w:rFonts w:hint="eastAsia" w:ascii="Times New Roman" w:hAnsi="Times New Roman" w:eastAsia="黑体" w:cs="Times New Roman"/>
          <w:b/>
          <w:bCs/>
          <w:color w:val="000000"/>
          <w:sz w:val="24"/>
          <w:szCs w:val="24"/>
        </w:rPr>
        <w:t>与有关法律、行政法规及相关标准的关系</w:t>
      </w:r>
      <w:bookmarkEnd w:id="24"/>
    </w:p>
    <w:p w14:paraId="033D8CDD">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本标准与现行相关法律、法规、规章及相关强制性标准协调一致。</w:t>
      </w:r>
    </w:p>
    <w:p w14:paraId="6B51A358">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25" w:name="_Toc15623"/>
      <w:r>
        <w:rPr>
          <w:rFonts w:hint="eastAsia" w:ascii="Times New Roman" w:hAnsi="Times New Roman" w:eastAsia="黑体" w:cs="Times New Roman"/>
          <w:b/>
          <w:bCs/>
          <w:color w:val="000000"/>
          <w:sz w:val="24"/>
          <w:szCs w:val="24"/>
        </w:rPr>
        <w:t>重大分歧意见的处理经过和依据</w:t>
      </w:r>
      <w:bookmarkEnd w:id="25"/>
    </w:p>
    <w:p w14:paraId="35F4557E">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无。</w:t>
      </w:r>
    </w:p>
    <w:p w14:paraId="79808A2D">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26" w:name="_Toc20452"/>
      <w:r>
        <w:rPr>
          <w:rFonts w:hint="eastAsia" w:ascii="Times New Roman" w:hAnsi="Times New Roman" w:eastAsia="黑体" w:cs="Times New Roman"/>
          <w:b/>
          <w:bCs/>
          <w:color w:val="000000"/>
          <w:sz w:val="24"/>
          <w:szCs w:val="24"/>
        </w:rPr>
        <w:t>知识产权有关说明</w:t>
      </w:r>
      <w:bookmarkEnd w:id="26"/>
    </w:p>
    <w:p w14:paraId="5341E485">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本标准编制过程中，未收到有关专利的声明。</w:t>
      </w:r>
    </w:p>
    <w:p w14:paraId="21E8AC0B">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27" w:name="_Toc11846"/>
      <w:r>
        <w:rPr>
          <w:rFonts w:hint="eastAsia" w:ascii="Times New Roman" w:hAnsi="Times New Roman" w:eastAsia="黑体" w:cs="Times New Roman"/>
          <w:b/>
          <w:bCs/>
          <w:color w:val="000000"/>
          <w:sz w:val="24"/>
          <w:szCs w:val="24"/>
        </w:rPr>
        <w:t>标准宣贯实施建议</w:t>
      </w:r>
      <w:bookmarkEnd w:id="27"/>
    </w:p>
    <w:p w14:paraId="761CE0C8">
      <w:pPr>
        <w:numPr>
          <w:ilvl w:val="0"/>
          <w:numId w:val="8"/>
        </w:numPr>
        <w:spacing w:before="156" w:beforeLines="50"/>
        <w:ind w:firstLine="0"/>
        <w:jc w:val="left"/>
        <w:outlineLvl w:val="1"/>
        <w:rPr>
          <w:rFonts w:ascii="Times New Roman" w:hAnsi="Times New Roman" w:eastAsia="宋体" w:cs="Times New Roman"/>
          <w:b/>
          <w:bCs/>
          <w:sz w:val="24"/>
          <w:szCs w:val="24"/>
        </w:rPr>
      </w:pPr>
      <w:bookmarkStart w:id="28" w:name="_Toc10528"/>
      <w:r>
        <w:rPr>
          <w:rFonts w:hint="eastAsia" w:ascii="Times New Roman" w:hAnsi="Times New Roman" w:eastAsia="宋体" w:cs="Times New Roman"/>
          <w:b/>
          <w:bCs/>
          <w:sz w:val="24"/>
          <w:szCs w:val="24"/>
        </w:rPr>
        <w:t>组织措施</w:t>
      </w:r>
      <w:bookmarkEnd w:id="28"/>
    </w:p>
    <w:p w14:paraId="4CE8611A">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建议在本标准发布后组织行业协会、电影制版单位、影院建设和运营单位进行标准宣贯。</w:t>
      </w:r>
    </w:p>
    <w:p w14:paraId="09E1F372">
      <w:pPr>
        <w:numPr>
          <w:ilvl w:val="0"/>
          <w:numId w:val="8"/>
        </w:numPr>
        <w:spacing w:before="156" w:beforeLines="50"/>
        <w:ind w:firstLine="0"/>
        <w:jc w:val="left"/>
        <w:outlineLvl w:val="1"/>
        <w:rPr>
          <w:rFonts w:ascii="Times New Roman" w:hAnsi="Times New Roman" w:eastAsia="宋体" w:cs="Times New Roman"/>
          <w:b/>
          <w:bCs/>
          <w:sz w:val="24"/>
          <w:szCs w:val="24"/>
        </w:rPr>
      </w:pPr>
      <w:bookmarkStart w:id="29" w:name="_Toc9660"/>
      <w:r>
        <w:rPr>
          <w:rFonts w:hint="eastAsia" w:ascii="Times New Roman" w:hAnsi="Times New Roman" w:eastAsia="宋体" w:cs="Times New Roman"/>
          <w:b/>
          <w:bCs/>
          <w:sz w:val="24"/>
          <w:szCs w:val="24"/>
        </w:rPr>
        <w:t>技术措施</w:t>
      </w:r>
      <w:bookmarkEnd w:id="29"/>
    </w:p>
    <w:p w14:paraId="3C451D74">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建议在本标准发布后，由电影相关管理机构沟通电影制版单位，电影制版过程中参照本标准的技术要求执行。</w:t>
      </w:r>
    </w:p>
    <w:p w14:paraId="4287B818">
      <w:pPr>
        <w:numPr>
          <w:ilvl w:val="0"/>
          <w:numId w:val="8"/>
        </w:numPr>
        <w:spacing w:before="156" w:beforeLines="50"/>
        <w:ind w:firstLine="0"/>
        <w:jc w:val="left"/>
        <w:outlineLvl w:val="1"/>
        <w:rPr>
          <w:rFonts w:ascii="Times New Roman" w:hAnsi="Times New Roman" w:eastAsia="宋体" w:cs="Times New Roman"/>
          <w:b/>
          <w:bCs/>
          <w:sz w:val="24"/>
          <w:szCs w:val="24"/>
        </w:rPr>
      </w:pPr>
      <w:bookmarkStart w:id="30" w:name="_Toc6876"/>
      <w:r>
        <w:rPr>
          <w:rFonts w:hint="eastAsia" w:ascii="Times New Roman" w:hAnsi="Times New Roman" w:eastAsia="宋体" w:cs="Times New Roman"/>
          <w:b/>
          <w:bCs/>
          <w:sz w:val="24"/>
          <w:szCs w:val="24"/>
        </w:rPr>
        <w:t>过渡期及办法</w:t>
      </w:r>
      <w:bookmarkEnd w:id="30"/>
    </w:p>
    <w:p w14:paraId="6BAE3919">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无过渡期。</w:t>
      </w:r>
    </w:p>
    <w:p w14:paraId="15D15FC2">
      <w:pPr>
        <w:numPr>
          <w:ilvl w:val="0"/>
          <w:numId w:val="8"/>
        </w:numPr>
        <w:spacing w:before="156" w:beforeLines="50"/>
        <w:ind w:firstLine="0"/>
        <w:jc w:val="left"/>
        <w:outlineLvl w:val="1"/>
        <w:rPr>
          <w:rFonts w:ascii="Times New Roman" w:hAnsi="Times New Roman" w:eastAsia="宋体" w:cs="Times New Roman"/>
          <w:b/>
          <w:bCs/>
          <w:sz w:val="24"/>
          <w:szCs w:val="24"/>
        </w:rPr>
      </w:pPr>
      <w:bookmarkStart w:id="31" w:name="_Toc9044"/>
      <w:r>
        <w:rPr>
          <w:rFonts w:hint="eastAsia" w:ascii="Times New Roman" w:hAnsi="Times New Roman" w:eastAsia="宋体" w:cs="Times New Roman"/>
          <w:b/>
          <w:bCs/>
          <w:sz w:val="24"/>
          <w:szCs w:val="24"/>
        </w:rPr>
        <w:t>实施日期</w:t>
      </w:r>
      <w:bookmarkEnd w:id="31"/>
    </w:p>
    <w:p w14:paraId="1C5349B4">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发布后立即实施。</w:t>
      </w:r>
    </w:p>
    <w:p w14:paraId="423F4905">
      <w:pPr>
        <w:numPr>
          <w:ilvl w:val="0"/>
          <w:numId w:val="8"/>
        </w:numPr>
        <w:spacing w:before="156" w:beforeLines="50"/>
        <w:ind w:firstLine="0"/>
        <w:jc w:val="left"/>
        <w:outlineLvl w:val="1"/>
        <w:rPr>
          <w:rFonts w:ascii="Times New Roman" w:hAnsi="Times New Roman" w:eastAsia="宋体" w:cs="Times New Roman"/>
          <w:b/>
          <w:bCs/>
          <w:sz w:val="24"/>
          <w:szCs w:val="24"/>
        </w:rPr>
      </w:pPr>
      <w:bookmarkStart w:id="32" w:name="_Toc6226"/>
      <w:r>
        <w:rPr>
          <w:rFonts w:hint="eastAsia" w:ascii="Times New Roman" w:hAnsi="Times New Roman" w:eastAsia="宋体" w:cs="Times New Roman"/>
          <w:b/>
          <w:bCs/>
          <w:sz w:val="24"/>
          <w:szCs w:val="24"/>
        </w:rPr>
        <w:t>废止现行有关标准的建议</w:t>
      </w:r>
      <w:bookmarkEnd w:id="32"/>
    </w:p>
    <w:p w14:paraId="10E11B5D">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无。</w:t>
      </w:r>
    </w:p>
    <w:p w14:paraId="26E36A65">
      <w:pPr>
        <w:numPr>
          <w:ilvl w:val="0"/>
          <w:numId w:val="2"/>
        </w:numPr>
        <w:spacing w:before="156" w:beforeLines="50"/>
        <w:jc w:val="left"/>
        <w:outlineLvl w:val="0"/>
        <w:rPr>
          <w:rFonts w:ascii="Times New Roman" w:hAnsi="Times New Roman" w:eastAsia="黑体" w:cs="Times New Roman"/>
          <w:b/>
          <w:bCs/>
          <w:color w:val="000000"/>
          <w:sz w:val="24"/>
          <w:szCs w:val="24"/>
        </w:rPr>
      </w:pPr>
      <w:bookmarkStart w:id="33" w:name="_Toc31830"/>
      <w:r>
        <w:rPr>
          <w:rFonts w:hint="eastAsia" w:ascii="Times New Roman" w:hAnsi="Times New Roman" w:eastAsia="黑体" w:cs="Times New Roman"/>
          <w:b/>
          <w:bCs/>
          <w:color w:val="000000"/>
          <w:sz w:val="24"/>
          <w:szCs w:val="24"/>
        </w:rPr>
        <w:t>其他应当说明的事项</w:t>
      </w:r>
      <w:bookmarkEnd w:id="33"/>
    </w:p>
    <w:p w14:paraId="7D757396">
      <w:pPr>
        <w:numPr>
          <w:ilvl w:val="0"/>
          <w:numId w:val="9"/>
        </w:numPr>
        <w:spacing w:before="156" w:beforeLines="50"/>
        <w:ind w:firstLine="0"/>
        <w:jc w:val="left"/>
        <w:outlineLvl w:val="1"/>
        <w:rPr>
          <w:rFonts w:ascii="Times New Roman" w:hAnsi="Times New Roman" w:eastAsia="宋体" w:cs="Times New Roman"/>
          <w:b/>
          <w:bCs/>
          <w:sz w:val="24"/>
          <w:szCs w:val="24"/>
        </w:rPr>
      </w:pPr>
      <w:bookmarkStart w:id="34" w:name="_Toc31934"/>
      <w:r>
        <w:rPr>
          <w:rFonts w:hint="eastAsia" w:ascii="Times New Roman" w:hAnsi="Times New Roman" w:eastAsia="宋体" w:cs="Times New Roman"/>
          <w:b/>
          <w:bCs/>
          <w:sz w:val="24"/>
          <w:szCs w:val="24"/>
        </w:rPr>
        <w:t>标准名称、范围和主要技术内容调整</w:t>
      </w:r>
      <w:bookmarkEnd w:id="34"/>
    </w:p>
    <w:p w14:paraId="1DE04BF6">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目前</w:t>
      </w:r>
      <w:r>
        <w:rPr>
          <w:rFonts w:ascii="Times New Roman" w:hAnsi="Times New Roman" w:eastAsia="宋体" w:cs="Times New Roman"/>
          <w:sz w:val="24"/>
          <w:szCs w:val="24"/>
        </w:rPr>
        <w:t>国内外电影行业尚未发布任何关于LED影院发行母版和数据包的技术规范</w:t>
      </w:r>
      <w:r>
        <w:rPr>
          <w:rFonts w:hint="eastAsia" w:ascii="Times New Roman" w:hAnsi="Times New Roman" w:eastAsia="宋体" w:cs="Times New Roman"/>
          <w:sz w:val="24"/>
          <w:szCs w:val="24"/>
        </w:rPr>
        <w:t>，</w:t>
      </w:r>
      <w:r>
        <w:rPr>
          <w:rFonts w:ascii="Times New Roman" w:hAnsi="Times New Roman" w:eastAsia="宋体" w:cs="Times New Roman"/>
          <w:sz w:val="24"/>
          <w:szCs w:val="24"/>
        </w:rPr>
        <w:t>仅对LED影院发行母版进行规定，无法保障LED电影制版、发行、放映的质量以及各环节之间的一致性。</w:t>
      </w:r>
    </w:p>
    <w:p w14:paraId="40CEE99E">
      <w:pPr>
        <w:numPr>
          <w:ilvl w:val="255"/>
          <w:numId w:val="0"/>
        </w:numPr>
        <w:spacing w:line="38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为了有效指导影片制作和打包工作，充分发挥LED放映系统的技术优势，提升LED影厅的放映效果，</w:t>
      </w:r>
      <w:r>
        <w:rPr>
          <w:rFonts w:hint="eastAsia" w:ascii="Times New Roman" w:hAnsi="Times New Roman" w:eastAsia="宋体" w:cs="Times New Roman"/>
          <w:sz w:val="24"/>
          <w:szCs w:val="24"/>
        </w:rPr>
        <w:t>有必要调整标准名称，</w:t>
      </w:r>
      <w:r>
        <w:rPr>
          <w:rFonts w:ascii="Times New Roman" w:hAnsi="Times New Roman" w:eastAsia="宋体" w:cs="Times New Roman"/>
          <w:sz w:val="24"/>
          <w:szCs w:val="24"/>
        </w:rPr>
        <w:t>增加数字影院LED数据包的技术要求。</w:t>
      </w:r>
    </w:p>
    <w:p w14:paraId="5CE536A7">
      <w:pPr>
        <w:numPr>
          <w:ilvl w:val="255"/>
          <w:numId w:val="0"/>
        </w:numPr>
        <w:spacing w:line="38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电影国家标准/行业标准制修订计划项目工作程序和管理细则》，行业标准名称、范围、主要技术内容的实质性调整，应经电影标委会、中宣部电影局批准后方可执行。因此，2025年5月，经起草组申请，电影标委会、中宣部电影局批准，本标准名称由《数字影院LED放映发行母版技术规范》修改为《数字影院LED放映发行母版和数据包技术规范》，主要技术内容增加峰值码率、标题命名等数字影院LED数据包的技术要求。</w:t>
      </w:r>
    </w:p>
    <w:p w14:paraId="606E7FDB">
      <w:pPr>
        <w:numPr>
          <w:ilvl w:val="255"/>
          <w:numId w:val="0"/>
        </w:numPr>
        <w:spacing w:line="380" w:lineRule="exact"/>
        <w:ind w:firstLine="480" w:firstLineChars="200"/>
        <w:rPr>
          <w:rFonts w:ascii="Times New Roman" w:hAnsi="Times New Roman" w:eastAsia="宋体" w:cs="Times New Roman"/>
          <w:sz w:val="24"/>
          <w:szCs w:val="24"/>
        </w:rPr>
      </w:pPr>
    </w:p>
    <w:p w14:paraId="0A2BD093">
      <w:pPr>
        <w:numPr>
          <w:ilvl w:val="255"/>
          <w:numId w:val="0"/>
        </w:numPr>
        <w:spacing w:line="380" w:lineRule="exact"/>
        <w:ind w:firstLine="420" w:firstLineChars="200"/>
        <w:rPr>
          <w:rFonts w:hint="eastAsia"/>
        </w:rPr>
      </w:pPr>
    </w:p>
    <w:sectPr>
      <w:pgSz w:w="11906" w:h="16838"/>
      <w:pgMar w:top="1701" w:right="1474" w:bottom="1474" w:left="1588"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F562122-9AFF-47FD-BDD0-3A4B5D013F7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6100D56-E338-4ECE-BCAF-8F7004134C02}"/>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DBD3E5A1-2644-4F67-AA55-B256C06CC2EA}"/>
  </w:font>
  <w:font w:name="方正小标宋简体">
    <w:panose1 w:val="02000000000000000000"/>
    <w:charset w:val="86"/>
    <w:family w:val="auto"/>
    <w:pitch w:val="default"/>
    <w:sig w:usb0="00000001" w:usb1="08000000" w:usb2="00000000" w:usb3="00000000" w:csb0="00040000" w:csb1="00000000"/>
    <w:embedRegular r:id="rId4" w:fontKey="{6A4176DA-2339-440D-97C3-0EA55729A85C}"/>
  </w:font>
  <w:font w:name="仿宋">
    <w:panose1 w:val="02010609060101010101"/>
    <w:charset w:val="86"/>
    <w:family w:val="modern"/>
    <w:pitch w:val="default"/>
    <w:sig w:usb0="800002BF" w:usb1="38CF7CFA" w:usb2="00000016" w:usb3="00000000" w:csb0="00040001" w:csb1="00000000"/>
    <w:embedRegular r:id="rId5" w:fontKey="{EF622644-D40F-478E-B46C-ECF6ED7008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9980584"/>
    </w:sdtPr>
    <w:sdtContent>
      <w:p w14:paraId="280E313E">
        <w:pPr>
          <w:pStyle w:val="12"/>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383E6DF">
    <w:pPr>
      <w:pStyle w:val="12"/>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BE1A40"/>
    <w:multiLevelType w:val="singleLevel"/>
    <w:tmpl w:val="8BBE1A40"/>
    <w:lvl w:ilvl="0" w:tentative="0">
      <w:start w:val="1"/>
      <w:numFmt w:val="decimal"/>
      <w:suff w:val="space"/>
      <w:lvlText w:val="%1."/>
      <w:lvlJc w:val="left"/>
      <w:pPr>
        <w:ind w:left="425" w:hanging="425"/>
      </w:pPr>
      <w:rPr>
        <w:rFonts w:hint="default"/>
      </w:rPr>
    </w:lvl>
  </w:abstractNum>
  <w:abstractNum w:abstractNumId="1">
    <w:nsid w:val="9F18D1E1"/>
    <w:multiLevelType w:val="singleLevel"/>
    <w:tmpl w:val="9F18D1E1"/>
    <w:lvl w:ilvl="0" w:tentative="0">
      <w:start w:val="1"/>
      <w:numFmt w:val="chineseCounting"/>
      <w:suff w:val="nothing"/>
      <w:lvlText w:val="（%1）"/>
      <w:lvlJc w:val="left"/>
      <w:pPr>
        <w:ind w:left="0" w:firstLine="420"/>
      </w:pPr>
      <w:rPr>
        <w:rFonts w:hint="eastAsia"/>
      </w:rPr>
    </w:lvl>
  </w:abstractNum>
  <w:abstractNum w:abstractNumId="2">
    <w:nsid w:val="CBA89CD3"/>
    <w:multiLevelType w:val="singleLevel"/>
    <w:tmpl w:val="CBA89CD3"/>
    <w:lvl w:ilvl="0" w:tentative="0">
      <w:start w:val="1"/>
      <w:numFmt w:val="chineseCounting"/>
      <w:suff w:val="nothing"/>
      <w:lvlText w:val="%1、"/>
      <w:lvlJc w:val="left"/>
      <w:pPr>
        <w:ind w:left="0" w:firstLine="0"/>
      </w:pPr>
      <w:rPr>
        <w:rFonts w:hint="eastAsia"/>
      </w:rPr>
    </w:lvl>
  </w:abstractNum>
  <w:abstractNum w:abstractNumId="3">
    <w:nsid w:val="E0E98DC8"/>
    <w:multiLevelType w:val="singleLevel"/>
    <w:tmpl w:val="E0E98DC8"/>
    <w:lvl w:ilvl="0" w:tentative="0">
      <w:start w:val="1"/>
      <w:numFmt w:val="chineseCounting"/>
      <w:suff w:val="nothing"/>
      <w:lvlText w:val="（%1）"/>
      <w:lvlJc w:val="left"/>
      <w:pPr>
        <w:ind w:left="0" w:firstLine="420"/>
      </w:pPr>
      <w:rPr>
        <w:rFonts w:hint="eastAsia"/>
      </w:rPr>
    </w:lvl>
  </w:abstractNum>
  <w:abstractNum w:abstractNumId="4">
    <w:nsid w:val="E5EB932E"/>
    <w:multiLevelType w:val="singleLevel"/>
    <w:tmpl w:val="E5EB932E"/>
    <w:lvl w:ilvl="0" w:tentative="0">
      <w:start w:val="1"/>
      <w:numFmt w:val="decimal"/>
      <w:lvlText w:val="%1."/>
      <w:lvlJc w:val="left"/>
      <w:pPr>
        <w:ind w:left="425" w:hanging="425"/>
      </w:pPr>
      <w:rPr>
        <w:rFonts w:hint="default"/>
      </w:rPr>
    </w:lvl>
  </w:abstractNum>
  <w:abstractNum w:abstractNumId="5">
    <w:nsid w:val="08568896"/>
    <w:multiLevelType w:val="singleLevel"/>
    <w:tmpl w:val="08568896"/>
    <w:lvl w:ilvl="0" w:tentative="0">
      <w:start w:val="1"/>
      <w:numFmt w:val="chineseCounting"/>
      <w:suff w:val="nothing"/>
      <w:lvlText w:val="（%1）"/>
      <w:lvlJc w:val="left"/>
      <w:pPr>
        <w:ind w:left="0" w:firstLine="420"/>
      </w:pPr>
      <w:rPr>
        <w:rFonts w:hint="eastAsia"/>
      </w:rPr>
    </w:lvl>
  </w:abstractNum>
  <w:abstractNum w:abstractNumId="6">
    <w:nsid w:val="18558178"/>
    <w:multiLevelType w:val="singleLevel"/>
    <w:tmpl w:val="18558178"/>
    <w:lvl w:ilvl="0" w:tentative="0">
      <w:start w:val="1"/>
      <w:numFmt w:val="chineseCounting"/>
      <w:suff w:val="nothing"/>
      <w:lvlText w:val="（%1）"/>
      <w:lvlJc w:val="left"/>
      <w:pPr>
        <w:ind w:left="0" w:firstLine="420"/>
      </w:pPr>
      <w:rPr>
        <w:rFonts w:hint="eastAsia"/>
      </w:rPr>
    </w:lvl>
  </w:abstractNum>
  <w:abstractNum w:abstractNumId="7">
    <w:nsid w:val="2AAE09AA"/>
    <w:multiLevelType w:val="multilevel"/>
    <w:tmpl w:val="2AAE09AA"/>
    <w:lvl w:ilvl="0" w:tentative="0">
      <w:start w:val="1"/>
      <w:numFmt w:val="decimal"/>
      <w:pStyle w:val="42"/>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2B64B94B"/>
    <w:multiLevelType w:val="singleLevel"/>
    <w:tmpl w:val="2B64B94B"/>
    <w:lvl w:ilvl="0" w:tentative="0">
      <w:start w:val="1"/>
      <w:numFmt w:val="chineseCounting"/>
      <w:suff w:val="nothing"/>
      <w:lvlText w:val="（%1）"/>
      <w:lvlJc w:val="left"/>
      <w:pPr>
        <w:ind w:left="0" w:firstLine="420"/>
      </w:pPr>
      <w:rPr>
        <w:rFonts w:hint="eastAsia"/>
      </w:rPr>
    </w:lvl>
  </w:abstractNum>
  <w:num w:numId="1">
    <w:abstractNumId w:val="7"/>
  </w:num>
  <w:num w:numId="2">
    <w:abstractNumId w:val="2"/>
  </w:num>
  <w:num w:numId="3">
    <w:abstractNumId w:val="8"/>
  </w:num>
  <w:num w:numId="4">
    <w:abstractNumId w:val="0"/>
  </w:num>
  <w:num w:numId="5">
    <w:abstractNumId w:val="5"/>
  </w:num>
  <w:num w:numId="6">
    <w:abstractNumId w:val="4"/>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5ZDhmNzlkMzc1ODMyMDE5YTEyZTM0ZDRkZDRiYmMifQ=="/>
  </w:docVars>
  <w:rsids>
    <w:rsidRoot w:val="00BE3F0C"/>
    <w:rsid w:val="000D0A87"/>
    <w:rsid w:val="000E5B2C"/>
    <w:rsid w:val="001660FB"/>
    <w:rsid w:val="00166993"/>
    <w:rsid w:val="001C7D88"/>
    <w:rsid w:val="00201239"/>
    <w:rsid w:val="00202D26"/>
    <w:rsid w:val="00244D01"/>
    <w:rsid w:val="00246E71"/>
    <w:rsid w:val="002F1B61"/>
    <w:rsid w:val="00305DC7"/>
    <w:rsid w:val="003205AC"/>
    <w:rsid w:val="00340D70"/>
    <w:rsid w:val="003521B3"/>
    <w:rsid w:val="003901FC"/>
    <w:rsid w:val="003C41C3"/>
    <w:rsid w:val="003E6D00"/>
    <w:rsid w:val="00401169"/>
    <w:rsid w:val="00413A3A"/>
    <w:rsid w:val="00425DBD"/>
    <w:rsid w:val="00464862"/>
    <w:rsid w:val="00477BA4"/>
    <w:rsid w:val="004B577E"/>
    <w:rsid w:val="00546B10"/>
    <w:rsid w:val="00566592"/>
    <w:rsid w:val="00566F7A"/>
    <w:rsid w:val="005D7A52"/>
    <w:rsid w:val="005F547E"/>
    <w:rsid w:val="006678F5"/>
    <w:rsid w:val="00675D1D"/>
    <w:rsid w:val="00676F94"/>
    <w:rsid w:val="006C70AF"/>
    <w:rsid w:val="006F016A"/>
    <w:rsid w:val="0074744B"/>
    <w:rsid w:val="007860E3"/>
    <w:rsid w:val="00792CAC"/>
    <w:rsid w:val="007D0BC4"/>
    <w:rsid w:val="00801ACD"/>
    <w:rsid w:val="00803F09"/>
    <w:rsid w:val="00812541"/>
    <w:rsid w:val="008200D0"/>
    <w:rsid w:val="00837122"/>
    <w:rsid w:val="008771C3"/>
    <w:rsid w:val="00890685"/>
    <w:rsid w:val="00897C8E"/>
    <w:rsid w:val="008C7874"/>
    <w:rsid w:val="00914CF3"/>
    <w:rsid w:val="009F2C8B"/>
    <w:rsid w:val="00A40F64"/>
    <w:rsid w:val="00A41184"/>
    <w:rsid w:val="00A55244"/>
    <w:rsid w:val="00A606A7"/>
    <w:rsid w:val="00B320B8"/>
    <w:rsid w:val="00B332FF"/>
    <w:rsid w:val="00B5392D"/>
    <w:rsid w:val="00B66773"/>
    <w:rsid w:val="00BD2A3E"/>
    <w:rsid w:val="00BE3F0C"/>
    <w:rsid w:val="00C26240"/>
    <w:rsid w:val="00C42CD4"/>
    <w:rsid w:val="00C46606"/>
    <w:rsid w:val="00C66D48"/>
    <w:rsid w:val="00C90AF7"/>
    <w:rsid w:val="00C94B46"/>
    <w:rsid w:val="00CA46E5"/>
    <w:rsid w:val="00CC7A4C"/>
    <w:rsid w:val="00CE6348"/>
    <w:rsid w:val="00D173FA"/>
    <w:rsid w:val="00D3301E"/>
    <w:rsid w:val="00DD6463"/>
    <w:rsid w:val="00DE3B01"/>
    <w:rsid w:val="00DE4D49"/>
    <w:rsid w:val="00DF0B1A"/>
    <w:rsid w:val="00EA602B"/>
    <w:rsid w:val="00EE37A8"/>
    <w:rsid w:val="00F61631"/>
    <w:rsid w:val="00F8627D"/>
    <w:rsid w:val="00FA7433"/>
    <w:rsid w:val="00FB612F"/>
    <w:rsid w:val="015B74E4"/>
    <w:rsid w:val="01FE26AE"/>
    <w:rsid w:val="02180E79"/>
    <w:rsid w:val="025B4026"/>
    <w:rsid w:val="02F77752"/>
    <w:rsid w:val="02F97B00"/>
    <w:rsid w:val="0302603E"/>
    <w:rsid w:val="03393105"/>
    <w:rsid w:val="040F54D8"/>
    <w:rsid w:val="04697A1A"/>
    <w:rsid w:val="04844854"/>
    <w:rsid w:val="04A645D6"/>
    <w:rsid w:val="04E6106A"/>
    <w:rsid w:val="05790C28"/>
    <w:rsid w:val="07F12200"/>
    <w:rsid w:val="090E0B90"/>
    <w:rsid w:val="09550FD0"/>
    <w:rsid w:val="09734E97"/>
    <w:rsid w:val="098B21E0"/>
    <w:rsid w:val="0A92134D"/>
    <w:rsid w:val="0B1D50BA"/>
    <w:rsid w:val="0B4E34C6"/>
    <w:rsid w:val="0BF40511"/>
    <w:rsid w:val="0C594818"/>
    <w:rsid w:val="0C5D3B40"/>
    <w:rsid w:val="0C721436"/>
    <w:rsid w:val="0CBD6B55"/>
    <w:rsid w:val="0CE75980"/>
    <w:rsid w:val="0CEC11E8"/>
    <w:rsid w:val="0DCD1019"/>
    <w:rsid w:val="0DF742E8"/>
    <w:rsid w:val="0EA1212E"/>
    <w:rsid w:val="0ECC7523"/>
    <w:rsid w:val="0F501F02"/>
    <w:rsid w:val="0F672DA8"/>
    <w:rsid w:val="0F7D6A6F"/>
    <w:rsid w:val="102E1B18"/>
    <w:rsid w:val="10D4446D"/>
    <w:rsid w:val="110F1949"/>
    <w:rsid w:val="11902A8A"/>
    <w:rsid w:val="12745F08"/>
    <w:rsid w:val="12A6008B"/>
    <w:rsid w:val="12A62B0D"/>
    <w:rsid w:val="12D36731"/>
    <w:rsid w:val="12F11306"/>
    <w:rsid w:val="131307F4"/>
    <w:rsid w:val="136C3441"/>
    <w:rsid w:val="13F76DF0"/>
    <w:rsid w:val="144C629F"/>
    <w:rsid w:val="146401FE"/>
    <w:rsid w:val="14DB226E"/>
    <w:rsid w:val="14F54CB6"/>
    <w:rsid w:val="156009C5"/>
    <w:rsid w:val="15CF16A7"/>
    <w:rsid w:val="15E2762C"/>
    <w:rsid w:val="16170301"/>
    <w:rsid w:val="166718DF"/>
    <w:rsid w:val="16695657"/>
    <w:rsid w:val="16BE1E47"/>
    <w:rsid w:val="1741533C"/>
    <w:rsid w:val="17C36FE9"/>
    <w:rsid w:val="17FC1962"/>
    <w:rsid w:val="183B2D07"/>
    <w:rsid w:val="18A312F5"/>
    <w:rsid w:val="18CD0120"/>
    <w:rsid w:val="18E119EE"/>
    <w:rsid w:val="1937087B"/>
    <w:rsid w:val="197762DD"/>
    <w:rsid w:val="199B1FCC"/>
    <w:rsid w:val="19C23A5A"/>
    <w:rsid w:val="1A113425"/>
    <w:rsid w:val="1A1D0C33"/>
    <w:rsid w:val="1A82318C"/>
    <w:rsid w:val="1B5A7114"/>
    <w:rsid w:val="1B9D2989"/>
    <w:rsid w:val="1B9E5092"/>
    <w:rsid w:val="1BAF6202"/>
    <w:rsid w:val="1BD21EF1"/>
    <w:rsid w:val="1BF34341"/>
    <w:rsid w:val="1CAC2742"/>
    <w:rsid w:val="1D061E52"/>
    <w:rsid w:val="1D6923E1"/>
    <w:rsid w:val="1D9D180A"/>
    <w:rsid w:val="1E1467F1"/>
    <w:rsid w:val="1F0D1BC6"/>
    <w:rsid w:val="1F62533A"/>
    <w:rsid w:val="1FFF5D37"/>
    <w:rsid w:val="20054643"/>
    <w:rsid w:val="20FA49E1"/>
    <w:rsid w:val="20FF60FD"/>
    <w:rsid w:val="213351E0"/>
    <w:rsid w:val="21645399"/>
    <w:rsid w:val="217A4BBD"/>
    <w:rsid w:val="21845A3B"/>
    <w:rsid w:val="219A525F"/>
    <w:rsid w:val="22E824FF"/>
    <w:rsid w:val="232D53DE"/>
    <w:rsid w:val="23452067"/>
    <w:rsid w:val="240923B7"/>
    <w:rsid w:val="240A7798"/>
    <w:rsid w:val="24250489"/>
    <w:rsid w:val="248F097F"/>
    <w:rsid w:val="253A18E9"/>
    <w:rsid w:val="254C2D14"/>
    <w:rsid w:val="257F1706"/>
    <w:rsid w:val="25C877ED"/>
    <w:rsid w:val="26B37488"/>
    <w:rsid w:val="270E64D3"/>
    <w:rsid w:val="27A27F17"/>
    <w:rsid w:val="27BF77CD"/>
    <w:rsid w:val="27F82CDF"/>
    <w:rsid w:val="288D78CB"/>
    <w:rsid w:val="28B44E58"/>
    <w:rsid w:val="28D728F5"/>
    <w:rsid w:val="290D4568"/>
    <w:rsid w:val="29C54E43"/>
    <w:rsid w:val="2A2B114A"/>
    <w:rsid w:val="2A351FC9"/>
    <w:rsid w:val="2A5266D7"/>
    <w:rsid w:val="2A5F7045"/>
    <w:rsid w:val="2B4E2C5C"/>
    <w:rsid w:val="2B773C45"/>
    <w:rsid w:val="2CE51A84"/>
    <w:rsid w:val="2D053ED4"/>
    <w:rsid w:val="2D104627"/>
    <w:rsid w:val="2E1578EC"/>
    <w:rsid w:val="2E24038A"/>
    <w:rsid w:val="2E3D58F0"/>
    <w:rsid w:val="2EB57C15"/>
    <w:rsid w:val="2EC168BB"/>
    <w:rsid w:val="2ECB2EFB"/>
    <w:rsid w:val="2ECD5874"/>
    <w:rsid w:val="2FAD2601"/>
    <w:rsid w:val="2FF62B88"/>
    <w:rsid w:val="3011493E"/>
    <w:rsid w:val="30963095"/>
    <w:rsid w:val="310C16B5"/>
    <w:rsid w:val="313F372D"/>
    <w:rsid w:val="31501496"/>
    <w:rsid w:val="32A93554"/>
    <w:rsid w:val="32B37608"/>
    <w:rsid w:val="32C57C62"/>
    <w:rsid w:val="32D103B5"/>
    <w:rsid w:val="32D65578"/>
    <w:rsid w:val="34136008"/>
    <w:rsid w:val="34237336"/>
    <w:rsid w:val="34EB2AD4"/>
    <w:rsid w:val="355931BA"/>
    <w:rsid w:val="35E6061B"/>
    <w:rsid w:val="362D624A"/>
    <w:rsid w:val="37060F75"/>
    <w:rsid w:val="370C2303"/>
    <w:rsid w:val="3715740A"/>
    <w:rsid w:val="37265173"/>
    <w:rsid w:val="37DD1BC7"/>
    <w:rsid w:val="387E0FDF"/>
    <w:rsid w:val="388C36FB"/>
    <w:rsid w:val="38D34E86"/>
    <w:rsid w:val="38EF3C8A"/>
    <w:rsid w:val="396E1053"/>
    <w:rsid w:val="39C0048E"/>
    <w:rsid w:val="3A0D1D46"/>
    <w:rsid w:val="3A46161E"/>
    <w:rsid w:val="3A922B1F"/>
    <w:rsid w:val="3B037579"/>
    <w:rsid w:val="3B4A32D5"/>
    <w:rsid w:val="3B7F12F6"/>
    <w:rsid w:val="3C4C0F54"/>
    <w:rsid w:val="3D791D75"/>
    <w:rsid w:val="3E6F6A9D"/>
    <w:rsid w:val="3E8C3C28"/>
    <w:rsid w:val="3EA03A5D"/>
    <w:rsid w:val="3ED71449"/>
    <w:rsid w:val="3ED74FA5"/>
    <w:rsid w:val="3FE61943"/>
    <w:rsid w:val="3FF00B39"/>
    <w:rsid w:val="409C46F8"/>
    <w:rsid w:val="41065ABD"/>
    <w:rsid w:val="412351F2"/>
    <w:rsid w:val="41385A42"/>
    <w:rsid w:val="41436921"/>
    <w:rsid w:val="41792343"/>
    <w:rsid w:val="417B60BB"/>
    <w:rsid w:val="41D37CA5"/>
    <w:rsid w:val="421107CE"/>
    <w:rsid w:val="42FE0D52"/>
    <w:rsid w:val="434C24DD"/>
    <w:rsid w:val="43D23F8D"/>
    <w:rsid w:val="44E95A32"/>
    <w:rsid w:val="45317572"/>
    <w:rsid w:val="45A141FD"/>
    <w:rsid w:val="45C81AEB"/>
    <w:rsid w:val="472114B3"/>
    <w:rsid w:val="47A53E92"/>
    <w:rsid w:val="47AB6C3D"/>
    <w:rsid w:val="47C14A44"/>
    <w:rsid w:val="482B217B"/>
    <w:rsid w:val="48651873"/>
    <w:rsid w:val="48E269F2"/>
    <w:rsid w:val="49352521"/>
    <w:rsid w:val="495F62C2"/>
    <w:rsid w:val="496D19FF"/>
    <w:rsid w:val="49B20AE8"/>
    <w:rsid w:val="4A0A4480"/>
    <w:rsid w:val="4A1946C3"/>
    <w:rsid w:val="4A207C29"/>
    <w:rsid w:val="4A38723F"/>
    <w:rsid w:val="4AB16FF2"/>
    <w:rsid w:val="4AD351BA"/>
    <w:rsid w:val="4B8F4793"/>
    <w:rsid w:val="4BDA60D4"/>
    <w:rsid w:val="4CDB2104"/>
    <w:rsid w:val="4D106251"/>
    <w:rsid w:val="4D137AF0"/>
    <w:rsid w:val="4D90069B"/>
    <w:rsid w:val="4DD3727F"/>
    <w:rsid w:val="4DED7064"/>
    <w:rsid w:val="4F8847C5"/>
    <w:rsid w:val="4F8B7E11"/>
    <w:rsid w:val="4F98252E"/>
    <w:rsid w:val="501222E0"/>
    <w:rsid w:val="50D37CC2"/>
    <w:rsid w:val="51FD1F9F"/>
    <w:rsid w:val="5224454D"/>
    <w:rsid w:val="52BE22AC"/>
    <w:rsid w:val="54237896"/>
    <w:rsid w:val="54F2189F"/>
    <w:rsid w:val="55375DD1"/>
    <w:rsid w:val="55EA33B8"/>
    <w:rsid w:val="56450728"/>
    <w:rsid w:val="564B3E56"/>
    <w:rsid w:val="56C65BD3"/>
    <w:rsid w:val="56D46542"/>
    <w:rsid w:val="56EA18C1"/>
    <w:rsid w:val="572F78CE"/>
    <w:rsid w:val="583C51D2"/>
    <w:rsid w:val="58BC728D"/>
    <w:rsid w:val="58D63543"/>
    <w:rsid w:val="58DE50A6"/>
    <w:rsid w:val="592B4413"/>
    <w:rsid w:val="596D67DA"/>
    <w:rsid w:val="59717595"/>
    <w:rsid w:val="5A4E2167"/>
    <w:rsid w:val="5AA81FF6"/>
    <w:rsid w:val="5ADA39FB"/>
    <w:rsid w:val="5BA1276A"/>
    <w:rsid w:val="5BE30FD5"/>
    <w:rsid w:val="5BE54D4D"/>
    <w:rsid w:val="5BF31745"/>
    <w:rsid w:val="5C1301F9"/>
    <w:rsid w:val="5C5D6E1A"/>
    <w:rsid w:val="5C7E20D7"/>
    <w:rsid w:val="5E31427A"/>
    <w:rsid w:val="5E48511F"/>
    <w:rsid w:val="5FBE1B3D"/>
    <w:rsid w:val="60413278"/>
    <w:rsid w:val="609805E0"/>
    <w:rsid w:val="60F75CC9"/>
    <w:rsid w:val="610B7004"/>
    <w:rsid w:val="616A178E"/>
    <w:rsid w:val="61EB2991"/>
    <w:rsid w:val="62AD7C47"/>
    <w:rsid w:val="63792E03"/>
    <w:rsid w:val="643C1282"/>
    <w:rsid w:val="64CB053B"/>
    <w:rsid w:val="65743DF8"/>
    <w:rsid w:val="65A50295"/>
    <w:rsid w:val="66417024"/>
    <w:rsid w:val="666D52C9"/>
    <w:rsid w:val="667E2026"/>
    <w:rsid w:val="66FE6CC3"/>
    <w:rsid w:val="67447222"/>
    <w:rsid w:val="6773145F"/>
    <w:rsid w:val="67A4786A"/>
    <w:rsid w:val="68281178"/>
    <w:rsid w:val="687436E1"/>
    <w:rsid w:val="687A681D"/>
    <w:rsid w:val="68A51AEC"/>
    <w:rsid w:val="690802CD"/>
    <w:rsid w:val="69F12B0F"/>
    <w:rsid w:val="6AF208ED"/>
    <w:rsid w:val="6AFB3C45"/>
    <w:rsid w:val="6B4F096F"/>
    <w:rsid w:val="6B916358"/>
    <w:rsid w:val="6C094140"/>
    <w:rsid w:val="6C6F52A3"/>
    <w:rsid w:val="6C7C7008"/>
    <w:rsid w:val="6C8510EA"/>
    <w:rsid w:val="6D2D3E5E"/>
    <w:rsid w:val="6D9D5488"/>
    <w:rsid w:val="6D9E6B0A"/>
    <w:rsid w:val="6DEE254B"/>
    <w:rsid w:val="6E22773B"/>
    <w:rsid w:val="6E600263"/>
    <w:rsid w:val="6F851713"/>
    <w:rsid w:val="6FC75452"/>
    <w:rsid w:val="70A64653"/>
    <w:rsid w:val="71AB7A47"/>
    <w:rsid w:val="71CF3B70"/>
    <w:rsid w:val="71E73175"/>
    <w:rsid w:val="72190311"/>
    <w:rsid w:val="726A7902"/>
    <w:rsid w:val="72710C91"/>
    <w:rsid w:val="72AF5315"/>
    <w:rsid w:val="72CB0CEB"/>
    <w:rsid w:val="734A751B"/>
    <w:rsid w:val="738A025C"/>
    <w:rsid w:val="73B13A3B"/>
    <w:rsid w:val="743E4BA3"/>
    <w:rsid w:val="749043BD"/>
    <w:rsid w:val="75137B32"/>
    <w:rsid w:val="75583A65"/>
    <w:rsid w:val="75585312"/>
    <w:rsid w:val="757F36C5"/>
    <w:rsid w:val="75F419BD"/>
    <w:rsid w:val="76DD68F5"/>
    <w:rsid w:val="77471FC0"/>
    <w:rsid w:val="77704013"/>
    <w:rsid w:val="77C664A7"/>
    <w:rsid w:val="77D62CF0"/>
    <w:rsid w:val="784B5AE0"/>
    <w:rsid w:val="789B0816"/>
    <w:rsid w:val="789F0582"/>
    <w:rsid w:val="78E201F2"/>
    <w:rsid w:val="78F34FE3"/>
    <w:rsid w:val="7A8E5463"/>
    <w:rsid w:val="7AEA15E0"/>
    <w:rsid w:val="7B7D06A6"/>
    <w:rsid w:val="7B8632CC"/>
    <w:rsid w:val="7BF73FB5"/>
    <w:rsid w:val="7C1728A9"/>
    <w:rsid w:val="7C8B0BA1"/>
    <w:rsid w:val="7CC61BD9"/>
    <w:rsid w:val="7D67010F"/>
    <w:rsid w:val="7D935F5F"/>
    <w:rsid w:val="7E094473"/>
    <w:rsid w:val="7E0F55C7"/>
    <w:rsid w:val="7E5E656D"/>
    <w:rsid w:val="7F5B2AAD"/>
    <w:rsid w:val="7F664413"/>
    <w:rsid w:val="7F930498"/>
    <w:rsid w:val="7FA95426"/>
    <w:rsid w:val="7FF76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5"/>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6"/>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7"/>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8"/>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9"/>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30"/>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1"/>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2"/>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9"/>
    <w:unhideWhenUsed/>
    <w:qFormat/>
    <w:uiPriority w:val="99"/>
    <w:pPr>
      <w:jc w:val="left"/>
    </w:pPr>
  </w:style>
  <w:style w:type="paragraph" w:styleId="12">
    <w:name w:val="footer"/>
    <w:basedOn w:val="1"/>
    <w:link w:val="44"/>
    <w:unhideWhenUsed/>
    <w:qFormat/>
    <w:uiPriority w:val="99"/>
    <w:pPr>
      <w:tabs>
        <w:tab w:val="center" w:pos="4153"/>
        <w:tab w:val="right" w:pos="8306"/>
      </w:tabs>
      <w:snapToGrid w:val="0"/>
      <w:jc w:val="left"/>
    </w:pPr>
    <w:rPr>
      <w:sz w:val="18"/>
      <w:szCs w:val="18"/>
    </w:rPr>
  </w:style>
  <w:style w:type="paragraph" w:styleId="13">
    <w:name w:val="header"/>
    <w:basedOn w:val="1"/>
    <w:link w:val="43"/>
    <w:unhideWhenUsed/>
    <w:qFormat/>
    <w:uiPriority w:val="99"/>
    <w:pP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Subtitle"/>
    <w:basedOn w:val="1"/>
    <w:next w:val="1"/>
    <w:link w:val="34"/>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oc 2"/>
    <w:basedOn w:val="1"/>
    <w:next w:val="1"/>
    <w:unhideWhenUsed/>
    <w:qFormat/>
    <w:uiPriority w:val="39"/>
    <w:pPr>
      <w:ind w:left="420" w:leftChars="200"/>
    </w:pPr>
  </w:style>
  <w:style w:type="paragraph" w:styleId="17">
    <w:name w:val="Title"/>
    <w:basedOn w:val="1"/>
    <w:next w:val="1"/>
    <w:link w:val="33"/>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8">
    <w:name w:val="annotation subject"/>
    <w:basedOn w:val="11"/>
    <w:next w:val="11"/>
    <w:link w:val="50"/>
    <w:semiHidden/>
    <w:unhideWhenUsed/>
    <w:qFormat/>
    <w:uiPriority w:val="99"/>
    <w:rPr>
      <w:b/>
      <w:bCs/>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467886" w:themeColor="hyperlink"/>
      <w:u w:val="single"/>
      <w14:textFill>
        <w14:solidFill>
          <w14:schemeClr w14:val="hlink"/>
        </w14:solidFill>
      </w14:textFill>
    </w:rPr>
  </w:style>
  <w:style w:type="character" w:styleId="23">
    <w:name w:val="annotation reference"/>
    <w:basedOn w:val="21"/>
    <w:semiHidden/>
    <w:unhideWhenUsed/>
    <w:qFormat/>
    <w:uiPriority w:val="99"/>
    <w:rPr>
      <w:sz w:val="21"/>
      <w:szCs w:val="21"/>
    </w:rPr>
  </w:style>
  <w:style w:type="character" w:customStyle="1" w:styleId="24">
    <w:name w:val="标题 1 字符"/>
    <w:basedOn w:val="21"/>
    <w:link w:val="2"/>
    <w:qFormat/>
    <w:uiPriority w:val="9"/>
    <w:rPr>
      <w:rFonts w:asciiTheme="majorHAnsi" w:hAnsiTheme="majorHAnsi" w:eastAsiaTheme="majorEastAsia" w:cstheme="majorBidi"/>
      <w:color w:val="104862" w:themeColor="accent1" w:themeShade="BF"/>
      <w:sz w:val="48"/>
      <w:szCs w:val="48"/>
    </w:rPr>
  </w:style>
  <w:style w:type="character" w:customStyle="1" w:styleId="25">
    <w:name w:val="标题 2 字符"/>
    <w:basedOn w:val="21"/>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6">
    <w:name w:val="标题 3 字符"/>
    <w:basedOn w:val="21"/>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7">
    <w:name w:val="标题 4 字符"/>
    <w:basedOn w:val="21"/>
    <w:link w:val="5"/>
    <w:semiHidden/>
    <w:qFormat/>
    <w:uiPriority w:val="9"/>
    <w:rPr>
      <w:rFonts w:cstheme="majorBidi"/>
      <w:color w:val="104862" w:themeColor="accent1" w:themeShade="BF"/>
      <w:sz w:val="28"/>
      <w:szCs w:val="28"/>
    </w:rPr>
  </w:style>
  <w:style w:type="character" w:customStyle="1" w:styleId="28">
    <w:name w:val="标题 5 字符"/>
    <w:basedOn w:val="21"/>
    <w:link w:val="6"/>
    <w:semiHidden/>
    <w:qFormat/>
    <w:uiPriority w:val="9"/>
    <w:rPr>
      <w:rFonts w:cstheme="majorBidi"/>
      <w:color w:val="104862" w:themeColor="accent1" w:themeShade="BF"/>
      <w:sz w:val="24"/>
    </w:rPr>
  </w:style>
  <w:style w:type="character" w:customStyle="1" w:styleId="29">
    <w:name w:val="标题 6 字符"/>
    <w:basedOn w:val="21"/>
    <w:link w:val="7"/>
    <w:semiHidden/>
    <w:qFormat/>
    <w:uiPriority w:val="9"/>
    <w:rPr>
      <w:rFonts w:cstheme="majorBidi"/>
      <w:b/>
      <w:bCs/>
      <w:color w:val="104862" w:themeColor="accent1" w:themeShade="BF"/>
    </w:rPr>
  </w:style>
  <w:style w:type="character" w:customStyle="1" w:styleId="30">
    <w:name w:val="标题 7 字符"/>
    <w:basedOn w:val="21"/>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1">
    <w:name w:val="标题 8 字符"/>
    <w:basedOn w:val="21"/>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2">
    <w:name w:val="标题 9 字符"/>
    <w:basedOn w:val="21"/>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3">
    <w:name w:val="标题 字符"/>
    <w:basedOn w:val="21"/>
    <w:link w:val="17"/>
    <w:qFormat/>
    <w:uiPriority w:val="10"/>
    <w:rPr>
      <w:rFonts w:asciiTheme="majorHAnsi" w:hAnsiTheme="majorHAnsi" w:eastAsiaTheme="majorEastAsia" w:cstheme="majorBidi"/>
      <w:spacing w:val="-10"/>
      <w:kern w:val="28"/>
      <w:sz w:val="56"/>
      <w:szCs w:val="56"/>
    </w:rPr>
  </w:style>
  <w:style w:type="character" w:customStyle="1" w:styleId="34">
    <w:name w:val="副标题 字符"/>
    <w:basedOn w:val="21"/>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5">
    <w:name w:val="Quote"/>
    <w:basedOn w:val="1"/>
    <w:next w:val="1"/>
    <w:link w:val="36"/>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6">
    <w:name w:val="引用 字符"/>
    <w:basedOn w:val="21"/>
    <w:link w:val="35"/>
    <w:qFormat/>
    <w:uiPriority w:val="29"/>
    <w:rPr>
      <w:i/>
      <w:iCs/>
      <w:color w:val="404040" w:themeColor="text1" w:themeTint="BF"/>
      <w14:textFill>
        <w14:solidFill>
          <w14:schemeClr w14:val="tx1">
            <w14:lumMod w14:val="75000"/>
            <w14:lumOff w14:val="25000"/>
          </w14:schemeClr>
        </w14:solidFill>
      </w14:textFill>
    </w:rPr>
  </w:style>
  <w:style w:type="paragraph" w:styleId="37">
    <w:name w:val="List Paragraph"/>
    <w:basedOn w:val="1"/>
    <w:qFormat/>
    <w:uiPriority w:val="34"/>
    <w:pPr>
      <w:ind w:left="720"/>
      <w:contextualSpacing/>
    </w:pPr>
  </w:style>
  <w:style w:type="character" w:customStyle="1" w:styleId="38">
    <w:name w:val="明显强调1"/>
    <w:basedOn w:val="21"/>
    <w:qFormat/>
    <w:uiPriority w:val="21"/>
    <w:rPr>
      <w:i/>
      <w:iCs/>
      <w:color w:val="104862" w:themeColor="accent1" w:themeShade="BF"/>
    </w:rPr>
  </w:style>
  <w:style w:type="paragraph" w:styleId="39">
    <w:name w:val="Intense Quote"/>
    <w:basedOn w:val="1"/>
    <w:next w:val="1"/>
    <w:link w:val="40"/>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0">
    <w:name w:val="明显引用 字符"/>
    <w:basedOn w:val="21"/>
    <w:link w:val="39"/>
    <w:qFormat/>
    <w:uiPriority w:val="30"/>
    <w:rPr>
      <w:i/>
      <w:iCs/>
      <w:color w:val="104862" w:themeColor="accent1" w:themeShade="BF"/>
    </w:rPr>
  </w:style>
  <w:style w:type="character" w:customStyle="1" w:styleId="41">
    <w:name w:val="明显参考1"/>
    <w:basedOn w:val="21"/>
    <w:qFormat/>
    <w:uiPriority w:val="32"/>
    <w:rPr>
      <w:b/>
      <w:bCs/>
      <w:smallCaps/>
      <w:color w:val="104862" w:themeColor="accent1" w:themeShade="BF"/>
      <w:spacing w:val="5"/>
    </w:rPr>
  </w:style>
  <w:style w:type="paragraph" w:customStyle="1" w:styleId="42">
    <w:name w:val="标准文件_字母编号列项（一级）"/>
    <w:autoRedefine/>
    <w:qFormat/>
    <w:uiPriority w:val="0"/>
    <w:pPr>
      <w:numPr>
        <w:ilvl w:val="0"/>
        <w:numId w:val="1"/>
      </w:numPr>
      <w:tabs>
        <w:tab w:val="left" w:pos="851"/>
      </w:tabs>
      <w:jc w:val="both"/>
    </w:pPr>
    <w:rPr>
      <w:rFonts w:ascii="宋体" w:hAnsi="Times New Roman" w:eastAsia="宋体" w:cs="Times New Roman"/>
      <w:sz w:val="21"/>
      <w:lang w:val="en-US" w:eastAsia="zh-CN" w:bidi="ar-SA"/>
    </w:rPr>
  </w:style>
  <w:style w:type="character" w:customStyle="1" w:styleId="43">
    <w:name w:val="页眉 字符"/>
    <w:basedOn w:val="21"/>
    <w:link w:val="13"/>
    <w:qFormat/>
    <w:uiPriority w:val="99"/>
    <w:rPr>
      <w:sz w:val="18"/>
      <w:szCs w:val="18"/>
      <w14:ligatures w14:val="none"/>
    </w:rPr>
  </w:style>
  <w:style w:type="character" w:customStyle="1" w:styleId="44">
    <w:name w:val="页脚 字符"/>
    <w:basedOn w:val="21"/>
    <w:link w:val="12"/>
    <w:qFormat/>
    <w:uiPriority w:val="99"/>
    <w:rPr>
      <w:sz w:val="18"/>
      <w:szCs w:val="18"/>
      <w14:ligatures w14:val="none"/>
    </w:rPr>
  </w:style>
  <w:style w:type="paragraph" w:customStyle="1" w:styleId="45">
    <w:name w:val="WPSOffice手动目录 1"/>
    <w:qFormat/>
    <w:uiPriority w:val="0"/>
    <w:rPr>
      <w:rFonts w:asciiTheme="minorHAnsi" w:hAnsiTheme="minorHAnsi" w:eastAsiaTheme="minorEastAsia" w:cstheme="minorBidi"/>
      <w:lang w:val="en-US" w:eastAsia="zh-CN" w:bidi="ar-SA"/>
    </w:rPr>
  </w:style>
  <w:style w:type="paragraph" w:customStyle="1" w:styleId="46">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8">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49">
    <w:name w:val="批注文字 字符"/>
    <w:basedOn w:val="21"/>
    <w:link w:val="11"/>
    <w:qFormat/>
    <w:uiPriority w:val="99"/>
    <w:rPr>
      <w:rFonts w:asciiTheme="minorHAnsi" w:hAnsiTheme="minorHAnsi" w:eastAsiaTheme="minorEastAsia" w:cstheme="minorBidi"/>
      <w:kern w:val="2"/>
      <w:sz w:val="21"/>
      <w:szCs w:val="22"/>
    </w:rPr>
  </w:style>
  <w:style w:type="character" w:customStyle="1" w:styleId="50">
    <w:name w:val="批注主题 字符"/>
    <w:basedOn w:val="49"/>
    <w:link w:val="18"/>
    <w:semiHidden/>
    <w:qFormat/>
    <w:uiPriority w:val="99"/>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A10FA-1106-48F2-A76B-8A5D3D1AB6C7}">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6050</Words>
  <Characters>6763</Characters>
  <Lines>28</Lines>
  <Paragraphs>19</Paragraphs>
  <TotalTime>1</TotalTime>
  <ScaleCrop>false</ScaleCrop>
  <LinksUpToDate>false</LinksUpToDate>
  <CharactersWithSpaces>6960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2024-10-22T02:51:00Z</dcterms:created>
  <dc:creator>成相翼</dc:creator>
  <cp:lastModifiedBy>李娜</cp:lastModifiedBy>
  <cp:lastPrinted>2024-10-22T07:49:00Z</cp:lastPrinted>
  <dcterms:modified xsi:type="dcterms:W3CDTF">2025-07-28T08:48:01Z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1AC7613B73A44B45BCAE4765441BC183_12</vt:lpwstr>
  </property>
  <property fmtid="{D5CDD505-2E9C-101B-9397-08002B2CF9AE}" pid="4" name="KSOTemplateDocerSaveRecord">
    <vt:lpwstr>eyJoZGlkIjoiZDI4M2VhN2FhYzBlZjQ0MWYxMzAwMWU5NGFkNDYxZTYiLCJ1c2VySWQiOiIzOTYxODM4OTkifQ==</vt:lpwstr>
  </property>
</Properties>
</file>