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9B9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8ABABF">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22B145F">
            <w:pPr>
              <w:pStyle w:val="19"/>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37.060.99</w:t>
            </w:r>
            <w:r>
              <w:rPr>
                <w:rFonts w:ascii="黑体" w:hAnsi="黑体" w:eastAsia="黑体"/>
                <w:sz w:val="21"/>
                <w:szCs w:val="21"/>
              </w:rPr>
              <w:fldChar w:fldCharType="end"/>
            </w:r>
            <w:bookmarkEnd w:id="0"/>
          </w:p>
        </w:tc>
      </w:tr>
      <w:tr w14:paraId="5755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0BEA613">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CF6137A">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N40</w:t>
            </w:r>
            <w:r>
              <w:rPr>
                <w:rFonts w:ascii="黑体" w:hAnsi="黑体" w:eastAsia="黑体"/>
                <w:sz w:val="21"/>
                <w:szCs w:val="21"/>
              </w:rPr>
              <w:fldChar w:fldCharType="end"/>
            </w:r>
            <w:bookmarkEnd w:id="1"/>
          </w:p>
        </w:tc>
      </w:tr>
    </w:tbl>
    <w:p w14:paraId="160CD0B9">
      <w:pPr>
        <w:pStyle w:val="53"/>
        <w:framePr w:w="9639" w:h="624" w:hRule="exact" w:hSpace="181" w:vSpace="181" w:wrap="around" w:hAnchor="page" w:x="1305" w:y="2269"/>
        <w:rPr>
          <w:rFonts w:hint="eastAsia" w:ascii="黑体" w:hAnsi="黑体" w:eastAsia="黑体"/>
          <w:b w:val="0"/>
          <w:bCs w:val="0"/>
          <w:w w:val="100"/>
          <w:sz w:val="48"/>
          <w:szCs w:val="48"/>
        </w:rPr>
      </w:pPr>
      <w:bookmarkStart w:id="2" w:name="_Hlk26473981"/>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电影</w:t>
      </w:r>
      <w:r>
        <w:rPr>
          <w:rFonts w:ascii="黑体" w:eastAsia="黑体"/>
          <w:b w:val="0"/>
          <w:bCs w:val="0"/>
          <w:w w:val="100"/>
          <w:sz w:val="48"/>
        </w:rPr>
        <w:fldChar w:fldCharType="end"/>
      </w:r>
      <w:bookmarkEnd w:id="3"/>
      <w:r>
        <w:rPr>
          <w:rFonts w:hint="eastAsia" w:ascii="黑体" w:hAnsi="黑体" w:eastAsia="黑体"/>
          <w:b w:val="0"/>
          <w:bCs w:val="0"/>
          <w:w w:val="100"/>
          <w:sz w:val="48"/>
          <w:szCs w:val="48"/>
        </w:rPr>
        <w:t>行业标准</w:t>
      </w:r>
    </w:p>
    <w:bookmarkEnd w:id="2"/>
    <w:p w14:paraId="04B00202">
      <w:pPr>
        <w:pStyle w:val="198"/>
      </w:pPr>
      <w:r>
        <w:fldChar w:fldCharType="begin">
          <w:ffData>
            <w:name w:val="文字1"/>
            <w:enabled/>
            <w:calcOnExit w:val="0"/>
            <w:textInput>
              <w:default w:val="GB "/>
            </w:textInput>
          </w:ffData>
        </w:fldChar>
      </w:r>
      <w:bookmarkStart w:id="4" w:name="文字1"/>
      <w:r>
        <w:instrText xml:space="preserve"> FORMTEXT </w:instrText>
      </w:r>
      <w:r>
        <w:fldChar w:fldCharType="separate"/>
      </w:r>
      <w:r>
        <w:t xml:space="preserve">DY/T </w:t>
      </w:r>
      <w:r>
        <w:fldChar w:fldCharType="end"/>
      </w:r>
      <w:bookmarkEnd w:id="4"/>
      <w:r>
        <w:fldChar w:fldCharType="begin">
          <w:ffData>
            <w:name w:val="NSTD_CODE_F"/>
            <w:enabled/>
            <w:calcOnExit w:val="0"/>
            <w:textInput>
              <w:default w:val="XXXXX"/>
            </w:textInput>
          </w:ffData>
        </w:fldChar>
      </w:r>
      <w:bookmarkStart w:id="5" w:name="NSTD_CODE_F"/>
      <w:r>
        <w:instrText xml:space="preserve"> FORMTEXT </w:instrText>
      </w:r>
      <w:r>
        <w:fldChar w:fldCharType="separate"/>
      </w:r>
      <w:r>
        <w:t>XXXXX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6F49AE10">
      <w:pPr>
        <w:pStyle w:val="52"/>
        <w:framePr w:w="0" w:hRule="auto" w:wrap="around" w:x="7089" w:y="398"/>
        <w:ind w:firstLine="420"/>
      </w:pPr>
      <w:r>
        <w:fldChar w:fldCharType="begin">
          <w:ffData>
            <w:name w:val="c1"/>
            <w:enabled/>
            <w:calcOnExit w:val="0"/>
            <w:textInput>
              <w:maxLength w:val="2"/>
            </w:textInput>
          </w:ffData>
        </w:fldChar>
      </w:r>
      <w:bookmarkStart w:id="7" w:name="c1"/>
      <w:r>
        <w:instrText xml:space="preserve"> FORMTEXT </w:instrText>
      </w:r>
      <w:r>
        <w:fldChar w:fldCharType="separate"/>
      </w:r>
      <w:r>
        <w:t>DY</w:t>
      </w:r>
      <w:r>
        <w:fldChar w:fldCharType="end"/>
      </w:r>
      <w:bookmarkEnd w:id="7"/>
    </w:p>
    <w:p w14:paraId="78A7838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6D216A">
      <w:pPr>
        <w:pStyle w:val="53"/>
        <w:framePr w:w="9639" w:h="6976" w:hRule="exact" w:hSpace="0" w:vSpace="0" w:wrap="around" w:hAnchor="page" w:y="6408"/>
        <w:jc w:val="center"/>
        <w:rPr>
          <w:rFonts w:hint="eastAsia" w:ascii="黑体" w:hAnsi="黑体" w:eastAsia="黑体"/>
          <w:b w:val="0"/>
          <w:bCs w:val="0"/>
          <w:w w:val="100"/>
        </w:rPr>
      </w:pPr>
    </w:p>
    <w:p w14:paraId="6EA7BDD7">
      <w:pPr>
        <w:pStyle w:val="200"/>
        <w:framePr w:h="6974" w:hRule="exact" w:wrap="around" w:x="1419" w:anchorLock="1"/>
        <w:rPr>
          <w:rFonts w:hint="eastAsia"/>
        </w:rPr>
      </w:pPr>
      <w:r>
        <w:rPr>
          <w:rFonts w:hint="eastAsia"/>
        </w:rPr>
        <w:fldChar w:fldCharType="begin">
          <w:ffData>
            <w:name w:val="CSTD_NAME"/>
            <w:enabled/>
            <w:calcOnExit w:val="0"/>
            <w:textInput>
              <w:default w:val="数字影院沉浸式音频处理器技术要求和测量方法"/>
            </w:textInput>
          </w:ffData>
        </w:fldChar>
      </w:r>
      <w:bookmarkStart w:id="8"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数字影院沉浸式音频处理器技术要求和测量方法</w:t>
      </w:r>
      <w:r>
        <w:rPr>
          <w:rFonts w:hint="eastAsia"/>
        </w:rPr>
        <w:fldChar w:fldCharType="end"/>
      </w:r>
      <w:bookmarkEnd w:id="8"/>
    </w:p>
    <w:p w14:paraId="342AD53F">
      <w:pPr>
        <w:framePr w:w="9639" w:h="6974" w:hRule="exact" w:wrap="around" w:vAnchor="page" w:hAnchor="page" w:x="1419" w:y="6408" w:anchorLock="1"/>
        <w:ind w:left="-1418"/>
      </w:pPr>
    </w:p>
    <w:p w14:paraId="6A439A57">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requirements and measurement methods for digital cinema immersive audio processor"/>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Technical requirements and measurement methods for digital cinema immersive audio processor</w:t>
      </w:r>
      <w:r>
        <w:rPr>
          <w:rFonts w:eastAsia="黑体"/>
          <w:szCs w:val="28"/>
        </w:rPr>
        <w:fldChar w:fldCharType="end"/>
      </w:r>
      <w:bookmarkEnd w:id="9"/>
    </w:p>
    <w:p w14:paraId="3E84EE3F">
      <w:pPr>
        <w:framePr w:w="9639" w:h="6974" w:hRule="exact" w:wrap="around" w:vAnchor="page" w:hAnchor="page" w:x="1419" w:y="6408" w:anchorLock="1"/>
        <w:spacing w:line="760" w:lineRule="exact"/>
        <w:ind w:left="-1418"/>
      </w:pPr>
    </w:p>
    <w:p w14:paraId="0CB4BD48">
      <w:pPr>
        <w:pStyle w:val="128"/>
        <w:framePr w:w="9639" w:h="6974" w:hRule="exact" w:wrap="around" w:vAnchor="page" w:hAnchor="page" w:x="1419" w:y="6408" w:anchorLock="1"/>
        <w:textAlignment w:val="bottom"/>
        <w:rPr>
          <w:rFonts w:eastAsia="黑体"/>
          <w:szCs w:val="28"/>
        </w:rPr>
      </w:pPr>
    </w:p>
    <w:p w14:paraId="0CCE3732">
      <w:pPr>
        <w:pStyle w:val="128"/>
        <w:framePr w:w="9639" w:h="6974" w:hRule="exact" w:wrap="around" w:vAnchor="page" w:hAnchor="page" w:x="1419" w:y="6408" w:anchorLock="1"/>
        <w:spacing w:before="440" w:after="160"/>
        <w:textAlignment w:val="bottom"/>
        <w:rPr>
          <w:sz w:val="24"/>
          <w:szCs w:val="28"/>
        </w:rPr>
      </w:pPr>
      <w:bookmarkStart w:id="10"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工作组讨论稿）"/>
              <w:listEntry w:val="（报批稿）"/>
              <w:listEntry w:val="（送审稿）"/>
              <w:listEntry w:val=" "/>
              <w:listEntry w:val="（送审讨论稿）"/>
              <w:listEntry w:val="草案版次选择"/>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14:paraId="5E2829F1">
      <w:pPr>
        <w:pStyle w:val="128"/>
        <w:framePr w:w="9639" w:h="6974" w:hRule="exact" w:wrap="around" w:vAnchor="page" w:hAnchor="page" w:x="1419" w:y="6408" w:anchorLock="1"/>
        <w:spacing w:before="180" w:line="240" w:lineRule="atLeast"/>
        <w:textAlignment w:val="bottom"/>
        <w:rPr>
          <w:sz w:val="21"/>
          <w:szCs w:val="28"/>
        </w:rPr>
      </w:pPr>
      <w:bookmarkStart w:id="11" w:name="CMPLSH_DATE"/>
      <w:r>
        <w:rPr>
          <w:rFonts w:hint="eastAsia"/>
          <w:sz w:val="21"/>
          <w:szCs w:val="28"/>
        </w:rPr>
        <w:fldChar w:fldCharType="begin">
          <w:ffData>
            <w:name w:val="CMPLSH_DATE"/>
            <w:enabled/>
            <w:calcOnExit w:val="0"/>
            <w:textInput>
              <w:default w:val="本草案完成日期：2025年7月30日"/>
            </w:textInput>
          </w:ffData>
        </w:fldChar>
      </w:r>
      <w:r>
        <w:rPr>
          <w:rFonts w:hint="eastAsia"/>
          <w:sz w:val="21"/>
          <w:szCs w:val="28"/>
        </w:rPr>
        <w:instrText xml:space="preserve">FORMTEXT</w:instrText>
      </w:r>
      <w:r>
        <w:rPr>
          <w:rFonts w:hint="eastAsia"/>
          <w:sz w:val="21"/>
          <w:szCs w:val="28"/>
        </w:rPr>
        <w:fldChar w:fldCharType="separate"/>
      </w:r>
      <w:r>
        <w:rPr>
          <w:rFonts w:hint="eastAsia"/>
          <w:sz w:val="21"/>
          <w:szCs w:val="28"/>
        </w:rPr>
        <w:t>本</w:t>
      </w:r>
      <w:r>
        <w:rPr>
          <w:rFonts w:hint="eastAsia"/>
          <w:sz w:val="21"/>
          <w:szCs w:val="28"/>
          <w:lang w:val="en-US" w:eastAsia="zh-CN"/>
        </w:rPr>
        <w:t>征求意见稿</w:t>
      </w:r>
      <w:r>
        <w:rPr>
          <w:rFonts w:hint="eastAsia"/>
          <w:sz w:val="21"/>
          <w:szCs w:val="28"/>
        </w:rPr>
        <w:t>完成日期：2025年</w:t>
      </w:r>
      <w:r>
        <w:rPr>
          <w:rFonts w:hint="eastAsia"/>
          <w:sz w:val="21"/>
          <w:szCs w:val="28"/>
          <w:lang w:val="en-US" w:eastAsia="zh-CN"/>
        </w:rPr>
        <w:t>8</w:t>
      </w:r>
      <w:r>
        <w:rPr>
          <w:rFonts w:hint="eastAsia"/>
          <w:sz w:val="21"/>
          <w:szCs w:val="28"/>
        </w:rPr>
        <w:t>月</w:t>
      </w:r>
      <w:r>
        <w:rPr>
          <w:rFonts w:hint="eastAsia"/>
          <w:sz w:val="21"/>
          <w:szCs w:val="28"/>
          <w:lang w:val="en-US" w:eastAsia="zh-CN"/>
        </w:rPr>
        <w:t>28</w:t>
      </w:r>
      <w:bookmarkStart w:id="186" w:name="_GoBack"/>
      <w:bookmarkEnd w:id="186"/>
      <w:r>
        <w:rPr>
          <w:rFonts w:hint="eastAsia"/>
          <w:sz w:val="21"/>
          <w:szCs w:val="28"/>
        </w:rPr>
        <w:t>日</w:t>
      </w:r>
      <w:r>
        <w:rPr>
          <w:rFonts w:hint="eastAsia"/>
          <w:sz w:val="21"/>
          <w:szCs w:val="28"/>
        </w:rPr>
        <w:fldChar w:fldCharType="end"/>
      </w:r>
      <w:bookmarkEnd w:id="11"/>
    </w:p>
    <w:p w14:paraId="45DDE5E8">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6CC9C993">
      <w:pPr>
        <w:pStyle w:val="19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1446F382">
      <w:pPr>
        <w:pStyle w:val="19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00F8734F">
      <w:pPr>
        <w:pStyle w:val="154"/>
        <w:framePr w:h="584" w:hRule="exact" w:hSpace="181" w:vSpace="181" w:wrap="around" w:y="15027"/>
        <w:rPr>
          <w:rFonts w:hint="eastAsia" w:hAnsi="黑体"/>
        </w:rPr>
      </w:pPr>
      <w:r>
        <w:rPr>
          <w:rFonts w:hint="eastAsia" w:hAnsi="黑体"/>
          <w:w w:val="100"/>
          <w:sz w:val="28"/>
        </w:rPr>
        <w:t>国家电影局</w:t>
      </w:r>
      <w:r>
        <w:rPr>
          <w:rFonts w:ascii="Times New Roman"/>
          <w:w w:val="100"/>
          <w:sz w:val="28"/>
          <w:szCs w:val="28"/>
        </w:rPr>
        <w:t>  </w:t>
      </w:r>
      <w:r>
        <w:rPr>
          <w:rStyle w:val="232"/>
          <w:rFonts w:hint="eastAsia" w:hAnsi="黑体"/>
          <w:position w:val="0"/>
        </w:rPr>
        <w:t>发</w:t>
      </w:r>
      <w:r>
        <w:rPr>
          <w:rStyle w:val="232"/>
          <w:rFonts w:hint="eastAsia" w:hAnsi="黑体"/>
          <w:spacing w:val="0"/>
          <w:position w:val="0"/>
        </w:rPr>
        <w:t>布</w:t>
      </w:r>
    </w:p>
    <w:p w14:paraId="342F9EA3">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44D9EB4">
      <w:pPr>
        <w:pStyle w:val="94"/>
        <w:spacing w:after="468"/>
      </w:pPr>
      <w:bookmarkStart w:id="19" w:name="BookMark1"/>
      <w:bookmarkStart w:id="20" w:name="_Toc54597417"/>
      <w:r>
        <w:rPr>
          <w:rFonts w:hint="eastAsia"/>
          <w:spacing w:val="320"/>
        </w:rPr>
        <w:t>目</w:t>
      </w:r>
      <w:r>
        <w:rPr>
          <w:rFonts w:hint="eastAsia"/>
        </w:rPr>
        <w:t>次</w:t>
      </w:r>
    </w:p>
    <w:p w14:paraId="00CE2D18">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"_Toc203577719" </w:instrText>
      </w:r>
      <w:r>
        <w:fldChar w:fldCharType="separate"/>
      </w:r>
      <w:r>
        <w:rPr>
          <w:rStyle w:val="34"/>
          <w:spacing w:val="320"/>
        </w:rPr>
        <w:t>前</w:t>
      </w:r>
      <w:r>
        <w:rPr>
          <w:rStyle w:val="34"/>
        </w:rPr>
        <w:t>言</w:t>
      </w:r>
      <w:r>
        <w:tab/>
      </w:r>
      <w:r>
        <w:fldChar w:fldCharType="begin"/>
      </w:r>
      <w:r>
        <w:instrText xml:space="preserve"> PAGEREF _Toc203577719 \h </w:instrText>
      </w:r>
      <w:r>
        <w:fldChar w:fldCharType="separate"/>
      </w:r>
      <w:r>
        <w:t>II</w:t>
      </w:r>
      <w:r>
        <w:fldChar w:fldCharType="end"/>
      </w:r>
      <w:r>
        <w:fldChar w:fldCharType="end"/>
      </w:r>
    </w:p>
    <w:p w14:paraId="00A4B30F">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"_Toc203577720" </w:instrText>
      </w:r>
      <w:r>
        <w:fldChar w:fldCharType="separate"/>
      </w:r>
      <w:r>
        <w:rPr>
          <w:rStyle w:val="34"/>
        </w:rPr>
        <w:t>1 范围</w:t>
      </w:r>
      <w:r>
        <w:tab/>
      </w:r>
      <w:r>
        <w:fldChar w:fldCharType="begin"/>
      </w:r>
      <w:r>
        <w:instrText xml:space="preserve"> PAGEREF _Toc203577720 \h </w:instrText>
      </w:r>
      <w:r>
        <w:fldChar w:fldCharType="separate"/>
      </w:r>
      <w:r>
        <w:t>1</w:t>
      </w:r>
      <w:r>
        <w:fldChar w:fldCharType="end"/>
      </w:r>
      <w:r>
        <w:fldChar w:fldCharType="end"/>
      </w:r>
    </w:p>
    <w:p w14:paraId="497608E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"_Toc203577721" </w:instrText>
      </w:r>
      <w:r>
        <w:fldChar w:fldCharType="separate"/>
      </w:r>
      <w:r>
        <w:rPr>
          <w:rStyle w:val="34"/>
        </w:rPr>
        <w:t>2 规范性引用文件</w:t>
      </w:r>
      <w:r>
        <w:tab/>
      </w:r>
      <w:r>
        <w:fldChar w:fldCharType="begin"/>
      </w:r>
      <w:r>
        <w:instrText xml:space="preserve"> PAGEREF _Toc203577721 \h </w:instrText>
      </w:r>
      <w:r>
        <w:fldChar w:fldCharType="separate"/>
      </w:r>
      <w:r>
        <w:t>1</w:t>
      </w:r>
      <w:r>
        <w:fldChar w:fldCharType="end"/>
      </w:r>
      <w:r>
        <w:fldChar w:fldCharType="end"/>
      </w:r>
    </w:p>
    <w:p w14:paraId="5040BC67">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"_Toc203577722" </w:instrText>
      </w:r>
      <w:r>
        <w:fldChar w:fldCharType="separate"/>
      </w:r>
      <w:r>
        <w:rPr>
          <w:rStyle w:val="34"/>
        </w:rPr>
        <w:t>3 术语和定义</w:t>
      </w:r>
      <w:r>
        <w:tab/>
      </w:r>
      <w:r>
        <w:fldChar w:fldCharType="begin"/>
      </w:r>
      <w:r>
        <w:instrText xml:space="preserve"> PAGEREF _Toc203577722 \h </w:instrText>
      </w:r>
      <w:r>
        <w:fldChar w:fldCharType="separate"/>
      </w:r>
      <w:r>
        <w:t>1</w:t>
      </w:r>
      <w:r>
        <w:fldChar w:fldCharType="end"/>
      </w:r>
      <w:r>
        <w:fldChar w:fldCharType="end"/>
      </w:r>
    </w:p>
    <w:p w14:paraId="5E88A045">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"_Toc203577730" </w:instrText>
      </w:r>
      <w:r>
        <w:fldChar w:fldCharType="separate"/>
      </w:r>
      <w:r>
        <w:rPr>
          <w:rStyle w:val="34"/>
        </w:rPr>
        <w:t>4 缩略语</w:t>
      </w:r>
      <w:r>
        <w:tab/>
      </w:r>
      <w:r>
        <w:fldChar w:fldCharType="begin"/>
      </w:r>
      <w:r>
        <w:instrText xml:space="preserve"> PAGEREF _Toc203577730 \h </w:instrText>
      </w:r>
      <w:r>
        <w:fldChar w:fldCharType="separate"/>
      </w:r>
      <w:r>
        <w:t>2</w:t>
      </w:r>
      <w:r>
        <w:fldChar w:fldCharType="end"/>
      </w:r>
      <w:r>
        <w:fldChar w:fldCharType="end"/>
      </w:r>
    </w:p>
    <w:p w14:paraId="3A7963A3">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"_Toc203577731" </w:instrText>
      </w:r>
      <w:r>
        <w:fldChar w:fldCharType="separate"/>
      </w:r>
      <w:r>
        <w:rPr>
          <w:rStyle w:val="34"/>
        </w:rPr>
        <w:t>5 技术要求</w:t>
      </w:r>
      <w:r>
        <w:tab/>
      </w:r>
      <w:r>
        <w:fldChar w:fldCharType="begin"/>
      </w:r>
      <w:r>
        <w:instrText xml:space="preserve"> PAGEREF _Toc203577731 \h </w:instrText>
      </w:r>
      <w:r>
        <w:fldChar w:fldCharType="separate"/>
      </w:r>
      <w:r>
        <w:t>2</w:t>
      </w:r>
      <w:r>
        <w:fldChar w:fldCharType="end"/>
      </w:r>
      <w:r>
        <w:fldChar w:fldCharType="end"/>
      </w:r>
    </w:p>
    <w:p w14:paraId="5DF0459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"_Toc203577732" </w:instrText>
      </w:r>
      <w:r>
        <w:fldChar w:fldCharType="separate"/>
      </w:r>
      <w:r>
        <w:rPr>
          <w:rStyle w:val="34"/>
          <w14:scene3d>
            <w14:lightRig w14:rig="threePt" w14:dir="t">
              <w14:rot w14:lat="0" w14:lon="0" w14:rev="0"/>
            </w14:lightRig>
          </w14:scene3d>
        </w:rPr>
        <w:t>5.1</w:t>
      </w:r>
      <w:r>
        <w:rPr>
          <w:rStyle w:val="34"/>
        </w:rPr>
        <w:t xml:space="preserve"> 基本功能</w:t>
      </w:r>
      <w:r>
        <w:tab/>
      </w:r>
      <w:r>
        <w:fldChar w:fldCharType="begin"/>
      </w:r>
      <w:r>
        <w:instrText xml:space="preserve"> PAGEREF _Toc203577732 \h </w:instrText>
      </w:r>
      <w:r>
        <w:fldChar w:fldCharType="separate"/>
      </w:r>
      <w:r>
        <w:t>3</w:t>
      </w:r>
      <w:r>
        <w:fldChar w:fldCharType="end"/>
      </w:r>
      <w:r>
        <w:fldChar w:fldCharType="end"/>
      </w:r>
    </w:p>
    <w:p w14:paraId="65ABC3B2">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"_Toc203577733" </w:instrText>
      </w:r>
      <w:r>
        <w:fldChar w:fldCharType="separate"/>
      </w:r>
      <w:r>
        <w:rPr>
          <w:rStyle w:val="34"/>
          <w14:scene3d>
            <w14:lightRig w14:rig="threePt" w14:dir="t">
              <w14:rot w14:lat="0" w14:lon="0" w14:rev="0"/>
            </w14:lightRig>
          </w14:scene3d>
        </w:rPr>
        <w:t>5.2</w:t>
      </w:r>
      <w:r>
        <w:rPr>
          <w:rStyle w:val="34"/>
        </w:rPr>
        <w:t xml:space="preserve"> 音频通路（数字输入/模拟输出）</w:t>
      </w:r>
      <w:r>
        <w:tab/>
      </w:r>
      <w:r>
        <w:fldChar w:fldCharType="begin"/>
      </w:r>
      <w:r>
        <w:instrText xml:space="preserve"> PAGEREF _Toc203577733 \h </w:instrText>
      </w:r>
      <w:r>
        <w:fldChar w:fldCharType="separate"/>
      </w:r>
      <w:r>
        <w:t>3</w:t>
      </w:r>
      <w:r>
        <w:fldChar w:fldCharType="end"/>
      </w:r>
      <w:r>
        <w:fldChar w:fldCharType="end"/>
      </w:r>
    </w:p>
    <w:p w14:paraId="097F62D4">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"_Toc203577734" </w:instrText>
      </w:r>
      <w:r>
        <w:fldChar w:fldCharType="separate"/>
      </w:r>
      <w:r>
        <w:rPr>
          <w:rStyle w:val="34"/>
          <w14:scene3d>
            <w14:lightRig w14:rig="threePt" w14:dir="t">
              <w14:rot w14:lat="0" w14:lon="0" w14:rev="0"/>
            </w14:lightRig>
          </w14:scene3d>
        </w:rPr>
        <w:t>5.3</w:t>
      </w:r>
      <w:r>
        <w:rPr>
          <w:rStyle w:val="34"/>
        </w:rPr>
        <w:t xml:space="preserve"> 设备可靠性、安全性和稳定性</w:t>
      </w:r>
      <w:r>
        <w:tab/>
      </w:r>
      <w:r>
        <w:fldChar w:fldCharType="begin"/>
      </w:r>
      <w:r>
        <w:instrText xml:space="preserve"> PAGEREF _Toc203577734 \h </w:instrText>
      </w:r>
      <w:r>
        <w:fldChar w:fldCharType="separate"/>
      </w:r>
      <w:r>
        <w:t>4</w:t>
      </w:r>
      <w:r>
        <w:fldChar w:fldCharType="end"/>
      </w:r>
      <w:r>
        <w:fldChar w:fldCharType="end"/>
      </w:r>
    </w:p>
    <w:p w14:paraId="76FF065A">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"_Toc203577735" </w:instrText>
      </w:r>
      <w:r>
        <w:fldChar w:fldCharType="separate"/>
      </w:r>
      <w:r>
        <w:rPr>
          <w:rStyle w:val="34"/>
        </w:rPr>
        <w:t>6 测量方法</w:t>
      </w:r>
      <w:r>
        <w:tab/>
      </w:r>
      <w:r>
        <w:fldChar w:fldCharType="begin"/>
      </w:r>
      <w:r>
        <w:instrText xml:space="preserve"> PAGEREF _Toc203577735 \h </w:instrText>
      </w:r>
      <w:r>
        <w:fldChar w:fldCharType="separate"/>
      </w:r>
      <w:r>
        <w:t>4</w:t>
      </w:r>
      <w:r>
        <w:fldChar w:fldCharType="end"/>
      </w:r>
      <w:r>
        <w:fldChar w:fldCharType="end"/>
      </w:r>
    </w:p>
    <w:p w14:paraId="30A39266">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"_Toc203577736" </w:instrText>
      </w:r>
      <w:r>
        <w:fldChar w:fldCharType="separate"/>
      </w:r>
      <w:r>
        <w:rPr>
          <w:rStyle w:val="34"/>
          <w14:scene3d>
            <w14:lightRig w14:rig="threePt" w14:dir="t">
              <w14:rot w14:lat="0" w14:lon="0" w14:rev="0"/>
            </w14:lightRig>
          </w14:scene3d>
        </w:rPr>
        <w:t>6.1</w:t>
      </w:r>
      <w:r>
        <w:rPr>
          <w:rStyle w:val="34"/>
        </w:rPr>
        <w:t xml:space="preserve"> 测量环境要求</w:t>
      </w:r>
      <w:r>
        <w:tab/>
      </w:r>
      <w:r>
        <w:fldChar w:fldCharType="begin"/>
      </w:r>
      <w:r>
        <w:instrText xml:space="preserve"> PAGEREF _Toc203577736 \h </w:instrText>
      </w:r>
      <w:r>
        <w:fldChar w:fldCharType="separate"/>
      </w:r>
      <w:r>
        <w:t>4</w:t>
      </w:r>
      <w:r>
        <w:fldChar w:fldCharType="end"/>
      </w:r>
      <w:r>
        <w:fldChar w:fldCharType="end"/>
      </w:r>
    </w:p>
    <w:p w14:paraId="0E341585">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"_Toc203577737" </w:instrText>
      </w:r>
      <w:r>
        <w:fldChar w:fldCharType="separate"/>
      </w:r>
      <w:r>
        <w:rPr>
          <w:rStyle w:val="34"/>
          <w14:scene3d>
            <w14:lightRig w14:rig="threePt" w14:dir="t">
              <w14:rot w14:lat="0" w14:lon="0" w14:rev="0"/>
            </w14:lightRig>
          </w14:scene3d>
        </w:rPr>
        <w:t>6.2</w:t>
      </w:r>
      <w:r>
        <w:rPr>
          <w:rStyle w:val="34"/>
        </w:rPr>
        <w:t xml:space="preserve"> 测量条件</w:t>
      </w:r>
      <w:r>
        <w:tab/>
      </w:r>
      <w:r>
        <w:fldChar w:fldCharType="begin"/>
      </w:r>
      <w:r>
        <w:instrText xml:space="preserve"> PAGEREF _Toc203577737 \h </w:instrText>
      </w:r>
      <w:r>
        <w:fldChar w:fldCharType="separate"/>
      </w:r>
      <w:r>
        <w:t>4</w:t>
      </w:r>
      <w:r>
        <w:fldChar w:fldCharType="end"/>
      </w:r>
      <w:r>
        <w:fldChar w:fldCharType="end"/>
      </w:r>
    </w:p>
    <w:p w14:paraId="7F2A4736">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"_Toc203577738" </w:instrText>
      </w:r>
      <w:r>
        <w:fldChar w:fldCharType="separate"/>
      </w:r>
      <w:r>
        <w:rPr>
          <w:rStyle w:val="34"/>
          <w14:scene3d>
            <w14:lightRig w14:rig="threePt" w14:dir="t">
              <w14:rot w14:lat="0" w14:lon="0" w14:rev="0"/>
            </w14:lightRig>
          </w14:scene3d>
        </w:rPr>
        <w:t>6.3</w:t>
      </w:r>
      <w:r>
        <w:rPr>
          <w:rStyle w:val="34"/>
        </w:rPr>
        <w:t xml:space="preserve"> 基本功能</w:t>
      </w:r>
      <w:r>
        <w:tab/>
      </w:r>
      <w:r>
        <w:fldChar w:fldCharType="begin"/>
      </w:r>
      <w:r>
        <w:instrText xml:space="preserve"> PAGEREF _Toc203577738 \h </w:instrText>
      </w:r>
      <w:r>
        <w:fldChar w:fldCharType="separate"/>
      </w:r>
      <w:r>
        <w:t>5</w:t>
      </w:r>
      <w:r>
        <w:fldChar w:fldCharType="end"/>
      </w:r>
      <w:r>
        <w:fldChar w:fldCharType="end"/>
      </w:r>
    </w:p>
    <w:p w14:paraId="13FACFCA">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"_Toc203577739" </w:instrText>
      </w:r>
      <w:r>
        <w:fldChar w:fldCharType="separate"/>
      </w:r>
      <w:r>
        <w:rPr>
          <w:rStyle w:val="34"/>
          <w14:scene3d>
            <w14:lightRig w14:rig="threePt" w14:dir="t">
              <w14:rot w14:lat="0" w14:lon="0" w14:rev="0"/>
            </w14:lightRig>
          </w14:scene3d>
        </w:rPr>
        <w:t>6.4</w:t>
      </w:r>
      <w:r>
        <w:rPr>
          <w:rStyle w:val="34"/>
        </w:rPr>
        <w:t xml:space="preserve"> 音频通路（数字进/模拟出）</w:t>
      </w:r>
      <w:r>
        <w:tab/>
      </w:r>
      <w:r>
        <w:fldChar w:fldCharType="begin"/>
      </w:r>
      <w:r>
        <w:instrText xml:space="preserve"> PAGEREF _Toc203577739 \h </w:instrText>
      </w:r>
      <w:r>
        <w:fldChar w:fldCharType="separate"/>
      </w:r>
      <w:r>
        <w:t>7</w:t>
      </w:r>
      <w:r>
        <w:fldChar w:fldCharType="end"/>
      </w:r>
      <w:r>
        <w:fldChar w:fldCharType="end"/>
      </w:r>
    </w:p>
    <w:p w14:paraId="180244E3">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"_Toc203577740" </w:instrText>
      </w:r>
      <w:r>
        <w:fldChar w:fldCharType="separate"/>
      </w:r>
      <w:r>
        <w:rPr>
          <w:rStyle w:val="34"/>
          <w14:scene3d>
            <w14:lightRig w14:rig="threePt" w14:dir="t">
              <w14:rot w14:lat="0" w14:lon="0" w14:rev="0"/>
            </w14:lightRig>
          </w14:scene3d>
        </w:rPr>
        <w:t>6.5</w:t>
      </w:r>
      <w:r>
        <w:rPr>
          <w:rStyle w:val="34"/>
        </w:rPr>
        <w:t xml:space="preserve"> 设备可靠性、安全性和稳定性的测量方法</w:t>
      </w:r>
      <w:r>
        <w:tab/>
      </w:r>
      <w:r>
        <w:fldChar w:fldCharType="begin"/>
      </w:r>
      <w:r>
        <w:instrText xml:space="preserve"> PAGEREF _Toc203577740 \h </w:instrText>
      </w:r>
      <w:r>
        <w:fldChar w:fldCharType="separate"/>
      </w:r>
      <w:r>
        <w:t>9</w:t>
      </w:r>
      <w:r>
        <w:fldChar w:fldCharType="end"/>
      </w:r>
      <w:r>
        <w:fldChar w:fldCharType="end"/>
      </w:r>
    </w:p>
    <w:p w14:paraId="2A197D67">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"_Toc203577741" </w:instrText>
      </w:r>
      <w:r>
        <w:fldChar w:fldCharType="separate"/>
      </w:r>
      <w:r>
        <w:rPr>
          <w:rStyle w:val="34"/>
          <w:spacing w:val="100"/>
        </w:rPr>
        <w:t>附录A</w:t>
      </w:r>
      <w:r>
        <w:rPr>
          <w:rStyle w:val="34"/>
        </w:rPr>
        <w:t xml:space="preserve"> （规范性） 影院音频对象位置元数据与影厅空间信息的映射关系</w:t>
      </w:r>
      <w:r>
        <w:tab/>
      </w:r>
      <w:r>
        <w:fldChar w:fldCharType="begin"/>
      </w:r>
      <w:r>
        <w:instrText xml:space="preserve"> PAGEREF _Toc203577741 \h </w:instrText>
      </w:r>
      <w:r>
        <w:fldChar w:fldCharType="separate"/>
      </w:r>
      <w:r>
        <w:t>11</w:t>
      </w:r>
      <w:r>
        <w:fldChar w:fldCharType="end"/>
      </w:r>
      <w:r>
        <w:fldChar w:fldCharType="end"/>
      </w:r>
    </w:p>
    <w:p w14:paraId="2EEC9017">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"_Toc203577742" </w:instrText>
      </w:r>
      <w:r>
        <w:fldChar w:fldCharType="separate"/>
      </w:r>
      <w:r>
        <w:rPr>
          <w:rStyle w:val="34"/>
          <w:spacing w:val="100"/>
        </w:rPr>
        <w:t>附录B</w:t>
      </w:r>
      <w:r>
        <w:rPr>
          <w:rStyle w:val="34"/>
        </w:rPr>
        <w:t xml:space="preserve"> （规范性） 影院音频对象位置元数据与Audio Vivid位置元数据映射关系</w:t>
      </w:r>
      <w:r>
        <w:tab/>
      </w:r>
      <w:r>
        <w:fldChar w:fldCharType="begin"/>
      </w:r>
      <w:r>
        <w:instrText xml:space="preserve"> PAGEREF _Toc203577742 \h </w:instrText>
      </w:r>
      <w:r>
        <w:fldChar w:fldCharType="separate"/>
      </w:r>
      <w:r>
        <w:t>12</w:t>
      </w:r>
      <w:r>
        <w:fldChar w:fldCharType="end"/>
      </w:r>
      <w:r>
        <w:fldChar w:fldCharType="end"/>
      </w:r>
    </w:p>
    <w:p w14:paraId="44609A9F">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"_Toc203577743" </w:instrText>
      </w:r>
      <w:r>
        <w:fldChar w:fldCharType="separate"/>
      </w:r>
      <w:r>
        <w:rPr>
          <w:rStyle w:val="34"/>
          <w:spacing w:val="105"/>
        </w:rPr>
        <w:t>参考文</w:t>
      </w:r>
      <w:r>
        <w:rPr>
          <w:rStyle w:val="34"/>
        </w:rPr>
        <w:t>献</w:t>
      </w:r>
      <w:r>
        <w:tab/>
      </w:r>
      <w:r>
        <w:fldChar w:fldCharType="begin"/>
      </w:r>
      <w:r>
        <w:instrText xml:space="preserve"> PAGEREF _Toc203577743 \h </w:instrText>
      </w:r>
      <w:r>
        <w:fldChar w:fldCharType="separate"/>
      </w:r>
      <w:r>
        <w:t>13</w:t>
      </w:r>
      <w:r>
        <w:fldChar w:fldCharType="end"/>
      </w:r>
      <w:r>
        <w:fldChar w:fldCharType="end"/>
      </w:r>
    </w:p>
    <w:p w14:paraId="58C71DCF">
      <w:pPr>
        <w:pStyle w:val="94"/>
        <w:spacing w:after="468"/>
        <w:sectPr>
          <w:headerReference r:id="rId11" w:type="default"/>
          <w:footerReference r:id="rId13" w:type="default"/>
          <w:headerReference r:id="rId12" w:type="even"/>
          <w:footerReference r:id="rId14"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9"/>
    <w:p w14:paraId="50876A6D">
      <w:pPr>
        <w:pStyle w:val="92"/>
        <w:spacing w:after="468"/>
      </w:pPr>
      <w:bookmarkStart w:id="21" w:name="_Toc203577719"/>
      <w:bookmarkStart w:id="22" w:name="BookMark2"/>
      <w:r>
        <w:rPr>
          <w:spacing w:val="320"/>
        </w:rPr>
        <w:t>前</w:t>
      </w:r>
      <w:r>
        <w:t>言</w:t>
      </w:r>
      <w:bookmarkEnd w:id="20"/>
      <w:bookmarkEnd w:id="21"/>
    </w:p>
    <w:p w14:paraId="760AC451">
      <w:pPr>
        <w:pStyle w:val="59"/>
        <w:ind w:firstLine="420"/>
      </w:pPr>
      <w:r>
        <w:rPr>
          <w:rFonts w:hint="eastAsia"/>
        </w:rPr>
        <w:t>本文件按照GB/T 1.1—2020《标准化工作导则</w:t>
      </w:r>
      <w:r>
        <w:t xml:space="preserve"> </w:t>
      </w:r>
      <w:r>
        <w:rPr>
          <w:rFonts w:hint="eastAsia"/>
        </w:rPr>
        <w:t>第1部分：标准化文件的结构和起草规则》的规定起草。</w:t>
      </w:r>
    </w:p>
    <w:p w14:paraId="161A46C6">
      <w:pPr>
        <w:pStyle w:val="233"/>
      </w:pPr>
      <w:r>
        <w:rPr>
          <w:rFonts w:hint="eastAsia"/>
        </w:rPr>
        <w:t>请注意本文件的某些内容可能涉及专利。本文件的发布机构不承担识别专利的责任。</w:t>
      </w:r>
    </w:p>
    <w:p w14:paraId="0919CA69">
      <w:pPr>
        <w:pStyle w:val="59"/>
        <w:ind w:firstLine="420"/>
      </w:pPr>
      <w:r>
        <w:rPr>
          <w:rFonts w:hint="eastAsia"/>
        </w:rPr>
        <w:t>本文件由全国电影标准化技术委员会（</w:t>
      </w:r>
      <w:r>
        <w:t>SAC/TC 604</w:t>
      </w:r>
      <w:r>
        <w:rPr>
          <w:rFonts w:hint="eastAsia"/>
        </w:rPr>
        <w:t>）提出并归口。</w:t>
      </w:r>
    </w:p>
    <w:p w14:paraId="3D76E5A0">
      <w:pPr>
        <w:pStyle w:val="233"/>
      </w:pPr>
      <w:r>
        <w:rPr>
          <w:rFonts w:hint="eastAsia"/>
        </w:rPr>
        <w:t>本文件起草单位：</w:t>
      </w:r>
      <w:bookmarkStart w:id="23" w:name="_Hlk518025865"/>
      <w:r>
        <w:rPr>
          <w:rFonts w:hint="eastAsia"/>
        </w:rPr>
        <w:t>中国电影科学技术研究所（中央宣传部电影技术质量检测所）</w:t>
      </w:r>
      <w:bookmarkEnd w:id="23"/>
      <w:r>
        <w:rPr>
          <w:rFonts w:hint="eastAsia"/>
        </w:rPr>
        <w:t>。</w:t>
      </w:r>
    </w:p>
    <w:p w14:paraId="15540FE8">
      <w:pPr>
        <w:pStyle w:val="59"/>
        <w:ind w:firstLine="420"/>
      </w:pPr>
      <w:r>
        <w:rPr>
          <w:rFonts w:hint="eastAsia"/>
        </w:rPr>
        <w:t>本文件主要起草人</w:t>
      </w:r>
      <w:bookmarkStart w:id="24" w:name="_Hlk518025883"/>
      <w:r>
        <w:rPr>
          <w:rFonts w:hint="eastAsia"/>
        </w:rPr>
        <w:t>：</w:t>
      </w:r>
      <w:bookmarkEnd w:id="24"/>
      <w:r>
        <w:rPr>
          <w:rFonts w:hint="eastAsia"/>
        </w:rPr>
        <w:t>董强国、王薇娜、李娜、张辉、高峰、王文强、李虹珊、王景宇、贾波、常婉晴、赵子安、徐涛、龚波。</w:t>
      </w:r>
    </w:p>
    <w:p w14:paraId="54F2F685">
      <w:pPr>
        <w:pStyle w:val="59"/>
        <w:ind w:firstLine="420"/>
      </w:pPr>
    </w:p>
    <w:p w14:paraId="07E831D9">
      <w:pPr>
        <w:pStyle w:val="59"/>
        <w:ind w:firstLine="420"/>
      </w:pPr>
    </w:p>
    <w:p w14:paraId="2D6A6D24">
      <w:pPr>
        <w:pStyle w:val="59"/>
        <w:ind w:firstLine="199" w:firstLineChars="95"/>
        <w:sectPr>
          <w:headerReference r:id="rId15" w:type="default"/>
          <w:footerReference r:id="rId17" w:type="default"/>
          <w:headerReference r:id="rId16" w:type="even"/>
          <w:footerReference r:id="rId18" w:type="even"/>
          <w:pgSz w:w="11906" w:h="16838"/>
          <w:pgMar w:top="1871" w:right="1134" w:bottom="1134" w:left="1134" w:header="1418" w:footer="1134" w:gutter="284"/>
          <w:pgNumType w:fmt="upperRoman"/>
          <w:cols w:space="425" w:num="1"/>
          <w:formProt w:val="0"/>
          <w:docGrid w:type="lines" w:linePitch="312" w:charSpace="0"/>
        </w:sectPr>
      </w:pPr>
    </w:p>
    <w:bookmarkEnd w:id="22"/>
    <w:p w14:paraId="62069139">
      <w:pPr>
        <w:spacing w:line="20" w:lineRule="exact"/>
        <w:jc w:val="center"/>
        <w:rPr>
          <w:rFonts w:hint="eastAsia" w:ascii="黑体" w:hAnsi="黑体" w:eastAsia="黑体"/>
          <w:sz w:val="32"/>
          <w:szCs w:val="32"/>
        </w:rPr>
      </w:pPr>
      <w:bookmarkStart w:id="25" w:name="BookMark4"/>
    </w:p>
    <w:p w14:paraId="30FE1A17">
      <w:pPr>
        <w:spacing w:line="20" w:lineRule="exact"/>
        <w:jc w:val="center"/>
        <w:rPr>
          <w:rFonts w:hint="eastAsia" w:ascii="黑体" w:hAnsi="黑体" w:eastAsia="黑体"/>
          <w:sz w:val="32"/>
          <w:szCs w:val="32"/>
        </w:rPr>
      </w:pPr>
    </w:p>
    <w:sdt>
      <w:sdtPr>
        <w:tag w:val="NEW_STAND_NAME"/>
        <w:id w:val="595910757"/>
        <w:lock w:val="sdtLocked"/>
        <w:placeholder>
          <w:docPart w:val="9B26E6AD67CB4C2995D310B627940C08"/>
        </w:placeholder>
      </w:sdtPr>
      <w:sdtContent>
        <w:p w14:paraId="1F3BAACA">
          <w:pPr>
            <w:pStyle w:val="180"/>
            <w:spacing w:before="567" w:beforeLines="182" w:after="686" w:afterLines="220"/>
            <w:rPr>
              <w:rFonts w:hint="eastAsia"/>
            </w:rPr>
          </w:pPr>
          <w:bookmarkStart w:id="26" w:name="NEW_STAND_NAME"/>
          <w:r>
            <w:rPr>
              <w:rFonts w:hint="eastAsia"/>
            </w:rPr>
            <w:t>数字影院沉浸式音频处理器技术要求和测量方法</w:t>
          </w:r>
        </w:p>
      </w:sdtContent>
    </w:sdt>
    <w:bookmarkEnd w:id="26"/>
    <w:p w14:paraId="4F13D755">
      <w:pPr>
        <w:pStyle w:val="107"/>
        <w:spacing w:before="312" w:after="312"/>
      </w:pPr>
      <w:bookmarkStart w:id="27" w:name="_Toc26718930"/>
      <w:bookmarkStart w:id="28" w:name="_Toc17233325"/>
      <w:bookmarkStart w:id="29" w:name="_Toc17233333"/>
      <w:bookmarkStart w:id="30" w:name="_Toc24884211"/>
      <w:bookmarkStart w:id="31" w:name="_Toc26986771"/>
      <w:bookmarkStart w:id="32" w:name="_Toc54597418"/>
      <w:bookmarkStart w:id="33" w:name="_Toc24884218"/>
      <w:bookmarkStart w:id="34" w:name="_Toc26986530"/>
      <w:bookmarkStart w:id="35" w:name="_Toc26648465"/>
      <w:bookmarkStart w:id="36" w:name="_Toc203577720"/>
      <w:r>
        <w:rPr>
          <w:rFonts w:hint="eastAsia"/>
        </w:rPr>
        <w:t>范围</w:t>
      </w:r>
      <w:bookmarkEnd w:id="27"/>
      <w:bookmarkEnd w:id="28"/>
      <w:bookmarkEnd w:id="29"/>
      <w:bookmarkEnd w:id="30"/>
      <w:bookmarkEnd w:id="31"/>
      <w:bookmarkEnd w:id="32"/>
      <w:bookmarkEnd w:id="33"/>
      <w:bookmarkEnd w:id="34"/>
      <w:bookmarkEnd w:id="35"/>
      <w:bookmarkEnd w:id="36"/>
    </w:p>
    <w:p w14:paraId="4738AA73">
      <w:pPr>
        <w:pStyle w:val="59"/>
        <w:ind w:firstLine="420"/>
      </w:pPr>
      <w:bookmarkStart w:id="37" w:name="_Toc24884212"/>
      <w:bookmarkStart w:id="38" w:name="_Toc24884219"/>
      <w:bookmarkStart w:id="39" w:name="_Toc17233334"/>
      <w:bookmarkStart w:id="40" w:name="_Toc17233326"/>
      <w:bookmarkStart w:id="41" w:name="_Toc26648466"/>
      <w:r>
        <w:rPr>
          <w:rFonts w:hint="eastAsia"/>
        </w:rPr>
        <w:t>本文件规定了数字影院放映用沉浸式音频处理器的基本功能、音频通路等技术要求，描述了相应的测量方法。</w:t>
      </w:r>
    </w:p>
    <w:p w14:paraId="63EFDE0F">
      <w:pPr>
        <w:pStyle w:val="59"/>
        <w:ind w:firstLine="420"/>
      </w:pPr>
      <w:r>
        <w:rPr>
          <w:rFonts w:hint="eastAsia"/>
        </w:rPr>
        <w:t>本文件适用于数字影院放映用沉浸式音频处理器的研发、使用、维护和评估。</w:t>
      </w:r>
    </w:p>
    <w:p w14:paraId="0426CEF4">
      <w:pPr>
        <w:pStyle w:val="107"/>
        <w:spacing w:before="312" w:after="312"/>
      </w:pPr>
      <w:bookmarkStart w:id="42" w:name="_Toc26986772"/>
      <w:bookmarkStart w:id="43" w:name="_Toc54597419"/>
      <w:bookmarkStart w:id="44" w:name="_Toc203577721"/>
      <w:bookmarkStart w:id="45" w:name="_Toc26718931"/>
      <w:bookmarkStart w:id="46" w:name="_Toc269865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1A34295BE509404A928913BDFCF38EA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FDE1086">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2CD31F">
      <w:pPr>
        <w:pStyle w:val="233"/>
        <w:rPr>
          <w:rFonts w:hint="eastAsia" w:hAnsi="宋体"/>
        </w:rPr>
      </w:pPr>
      <w:bookmarkStart w:id="47" w:name="OLE_LINK6"/>
      <w:r>
        <w:rPr>
          <w:rFonts w:hint="eastAsia" w:hAnsi="宋体"/>
        </w:rPr>
        <w:t>DY/T 6—2021 数字电影放映用还音设备技术要求和测量方法</w:t>
      </w:r>
    </w:p>
    <w:p w14:paraId="03AC426D">
      <w:pPr>
        <w:pStyle w:val="233"/>
        <w:rPr>
          <w:rFonts w:hint="eastAsia" w:hAnsi="宋体"/>
        </w:rPr>
      </w:pPr>
      <w:r>
        <w:rPr>
          <w:rFonts w:hint="eastAsia" w:hAnsi="宋体"/>
        </w:rPr>
        <w:t>GY/T 158—2000</w:t>
      </w:r>
      <w:r>
        <w:rPr>
          <w:rFonts w:hAnsi="宋体"/>
        </w:rPr>
        <w:t xml:space="preserve"> 演播室数字音频信号接口</w:t>
      </w:r>
    </w:p>
    <w:p w14:paraId="137E03F6">
      <w:pPr>
        <w:pStyle w:val="233"/>
        <w:rPr>
          <w:rFonts w:hint="eastAsia" w:hAnsi="宋体"/>
        </w:rPr>
      </w:pPr>
      <w:r>
        <w:rPr>
          <w:rFonts w:hint="eastAsia" w:hAnsi="宋体"/>
        </w:rPr>
        <w:t>GY/T 363—2023 三维声编解码及渲染</w:t>
      </w:r>
    </w:p>
    <w:p w14:paraId="646AB6C1">
      <w:pPr>
        <w:pStyle w:val="233"/>
        <w:rPr>
          <w:rFonts w:hint="eastAsia" w:hAnsi="宋体"/>
        </w:rPr>
      </w:pPr>
      <w:r>
        <w:rPr>
          <w:rFonts w:hint="eastAsia" w:hAnsi="宋体"/>
        </w:rPr>
        <w:t>SMPTE ST 2098-2:2019 沉浸式音频比特流规范（</w:t>
      </w:r>
      <w:r>
        <w:rPr>
          <w:rFonts w:hAnsi="宋体"/>
        </w:rPr>
        <w:t>Immersive Audio Bitstream Specification</w:t>
      </w:r>
      <w:r>
        <w:rPr>
          <w:rFonts w:hint="eastAsia" w:hAnsi="宋体"/>
        </w:rPr>
        <w:t>）</w:t>
      </w:r>
    </w:p>
    <w:p w14:paraId="6CF1F868">
      <w:pPr>
        <w:pStyle w:val="233"/>
        <w:rPr>
          <w:rFonts w:hint="eastAsia" w:hAnsi="宋体"/>
        </w:rPr>
      </w:pPr>
      <w:r>
        <w:rPr>
          <w:rFonts w:hint="eastAsia" w:hAnsi="宋体"/>
        </w:rPr>
        <w:t>SMPTE ST 430-14:2015 数字影院运营-数字同步信号和辅助数据传输协议（D-Cinema Operations-Digital Sync Signal and Aux Data Transfer Protocol）</w:t>
      </w:r>
      <w:bookmarkEnd w:id="47"/>
    </w:p>
    <w:p w14:paraId="19D39602">
      <w:pPr>
        <w:pStyle w:val="107"/>
        <w:spacing w:before="312" w:after="312"/>
      </w:pPr>
      <w:bookmarkStart w:id="48" w:name="_Toc54597420"/>
      <w:bookmarkStart w:id="49" w:name="_Toc203577722"/>
      <w:r>
        <w:rPr>
          <w:rFonts w:hint="eastAsia"/>
          <w:szCs w:val="21"/>
        </w:rPr>
        <w:t>术语和定义</w:t>
      </w:r>
      <w:bookmarkEnd w:id="48"/>
      <w:bookmarkEnd w:id="49"/>
    </w:p>
    <w:p w14:paraId="652E97AD">
      <w:pPr>
        <w:pStyle w:val="59"/>
        <w:ind w:firstLine="420"/>
      </w:pPr>
      <w:bookmarkStart w:id="50" w:name="_Toc26986532"/>
      <w:bookmarkEnd w:id="50"/>
      <w:sdt>
        <w:sdtPr>
          <w:id w:val="-1909835108"/>
          <w:placeholder>
            <w:docPart w:val="4B79669EA2CA43179F6E6C9296690B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p>
    <w:p w14:paraId="477DB697">
      <w:pPr>
        <w:pStyle w:val="226"/>
        <w:ind w:left="420" w:hanging="420" w:hangingChars="200"/>
      </w:pPr>
    </w:p>
    <w:p w14:paraId="3CD2AA87">
      <w:pPr>
        <w:pStyle w:val="226"/>
        <w:numPr>
          <w:ilvl w:val="0"/>
          <w:numId w:val="0"/>
        </w:numPr>
        <w:ind w:left="420"/>
        <w:rPr>
          <w:rFonts w:hint="eastAsia" w:ascii="黑体" w:hAnsi="黑体" w:eastAsia="黑体"/>
        </w:rPr>
      </w:pPr>
      <w:r>
        <w:rPr>
          <w:rFonts w:hint="eastAsia" w:ascii="黑体" w:hAnsi="黑体" w:eastAsia="黑体"/>
        </w:rPr>
        <w:t xml:space="preserve">数字影院沉浸式音频处理器 </w:t>
      </w:r>
      <w:r>
        <w:rPr>
          <w:rFonts w:ascii="黑体" w:hAnsi="黑体" w:eastAsia="黑体"/>
        </w:rPr>
        <w:t>digital cinema immersive</w:t>
      </w:r>
      <w:r>
        <w:rPr>
          <w:rFonts w:hint="eastAsia" w:ascii="黑体" w:hAnsi="黑体" w:eastAsia="黑体"/>
        </w:rPr>
        <w:t xml:space="preserve"> audio</w:t>
      </w:r>
      <w:r>
        <w:rPr>
          <w:rFonts w:ascii="黑体" w:hAnsi="黑体" w:eastAsia="黑体"/>
        </w:rPr>
        <w:t xml:space="preserve"> processor</w:t>
      </w:r>
    </w:p>
    <w:p w14:paraId="78E4D78E">
      <w:pPr>
        <w:pStyle w:val="233"/>
      </w:pPr>
      <w:r>
        <w:rPr>
          <w:rFonts w:hint="eastAsia"/>
        </w:rPr>
        <w:t>数字影院放映中用于处理集成媒体模块输出的带有元数据的沉浸式音频比特流，并实现解码、渲染、均衡调节、数模转换和各通道延时调节等功能的音频信号处理设备。</w:t>
      </w:r>
    </w:p>
    <w:p w14:paraId="7E2E4C9B">
      <w:pPr>
        <w:pStyle w:val="108"/>
        <w:spacing w:before="156" w:after="156"/>
      </w:pPr>
      <w:bookmarkStart w:id="51" w:name="_Toc200977966"/>
      <w:bookmarkEnd w:id="51"/>
      <w:bookmarkStart w:id="52" w:name="_Toc200958670"/>
      <w:bookmarkEnd w:id="52"/>
      <w:bookmarkStart w:id="53" w:name="_Toc203572905"/>
      <w:bookmarkEnd w:id="53"/>
      <w:bookmarkStart w:id="54" w:name="_Toc203393360"/>
      <w:bookmarkEnd w:id="54"/>
      <w:bookmarkStart w:id="55" w:name="_Toc203577723"/>
      <w:bookmarkEnd w:id="55"/>
    </w:p>
    <w:p w14:paraId="513DD769">
      <w:pPr>
        <w:pStyle w:val="226"/>
        <w:numPr>
          <w:ilvl w:val="0"/>
          <w:numId w:val="0"/>
        </w:numPr>
        <w:ind w:left="420"/>
        <w:rPr>
          <w:rFonts w:hint="eastAsia" w:ascii="黑体" w:hAnsi="黑体" w:eastAsia="黑体"/>
        </w:rPr>
      </w:pPr>
      <w:r>
        <w:rPr>
          <w:rFonts w:hint="eastAsia" w:ascii="黑体" w:hAnsi="黑体" w:eastAsia="黑体"/>
        </w:rPr>
        <w:t>沉浸式音频比特流 immersive audio bitstream</w:t>
      </w:r>
    </w:p>
    <w:p w14:paraId="4306172C">
      <w:pPr>
        <w:pStyle w:val="59"/>
        <w:ind w:firstLine="420"/>
      </w:pPr>
      <w:r>
        <w:rPr>
          <w:rFonts w:hint="eastAsia"/>
        </w:rPr>
        <w:t>影院放映用沉浸式音频文件编码比特流，该比特流携带声床音频内容、对象音频内容和对象音频内容所需的对象元数据。</w:t>
      </w:r>
    </w:p>
    <w:p w14:paraId="0CCD874B">
      <w:pPr>
        <w:pStyle w:val="183"/>
      </w:pPr>
      <w:r>
        <w:rPr>
          <w:rFonts w:hint="eastAsia"/>
        </w:rPr>
        <w:t>沉浸式音频比特流</w:t>
      </w:r>
      <w:r>
        <w:rPr>
          <w:rFonts w:hint="eastAsia"/>
          <w:lang w:val="en-US" w:eastAsia="zh-CN"/>
        </w:rPr>
        <w:t>的编码</w:t>
      </w:r>
      <w:r>
        <w:rPr>
          <w:rFonts w:hint="eastAsia"/>
        </w:rPr>
        <w:t>规范参照SMPTE ST 2098-2:2019 Immersive Audio Bitstream Specification</w:t>
      </w:r>
    </w:p>
    <w:p w14:paraId="43CBF07C">
      <w:pPr>
        <w:pStyle w:val="108"/>
        <w:spacing w:before="156" w:after="156"/>
      </w:pPr>
      <w:bookmarkStart w:id="56" w:name="_Toc200958671"/>
      <w:bookmarkEnd w:id="56"/>
      <w:bookmarkStart w:id="57" w:name="_Toc203577724"/>
      <w:bookmarkEnd w:id="57"/>
      <w:bookmarkStart w:id="58" w:name="_Toc203572906"/>
      <w:bookmarkEnd w:id="58"/>
      <w:bookmarkStart w:id="59" w:name="_Toc203393361"/>
      <w:bookmarkEnd w:id="59"/>
      <w:bookmarkStart w:id="60" w:name="_Toc200977967"/>
      <w:bookmarkEnd w:id="60"/>
    </w:p>
    <w:p w14:paraId="01D58D48">
      <w:pPr>
        <w:pStyle w:val="226"/>
        <w:numPr>
          <w:ilvl w:val="0"/>
          <w:numId w:val="0"/>
        </w:numPr>
        <w:ind w:left="420"/>
        <w:rPr>
          <w:rFonts w:hint="eastAsia" w:ascii="黑体" w:hAnsi="黑体" w:eastAsia="黑体"/>
        </w:rPr>
      </w:pPr>
      <w:r>
        <w:rPr>
          <w:rFonts w:hint="eastAsia" w:ascii="黑体" w:hAnsi="黑体" w:eastAsia="黑体"/>
        </w:rPr>
        <w:t xml:space="preserve">沉浸式音频同步信号 immersive audio </w:t>
      </w:r>
      <w:r>
        <w:rPr>
          <w:rFonts w:ascii="黑体" w:hAnsi="黑体" w:eastAsia="黑体"/>
        </w:rPr>
        <w:t>synchronization signal</w:t>
      </w:r>
    </w:p>
    <w:p w14:paraId="7899BA86">
      <w:pPr>
        <w:pStyle w:val="59"/>
        <w:ind w:firstLine="420"/>
      </w:pPr>
      <w:r>
        <w:rPr>
          <w:rFonts w:hint="eastAsia"/>
        </w:rPr>
        <w:t>集成媒体模块在播放影片内容时，为了确保视频信息和沉浸式音频信息能够同步播放，实时生成的一种基于音频采样精度的二进制信号，兼容AES/EBU接口标准。</w:t>
      </w:r>
    </w:p>
    <w:p w14:paraId="3C95AFCD">
      <w:pPr>
        <w:pStyle w:val="183"/>
      </w:pPr>
      <w:r>
        <w:rPr>
          <w:rFonts w:hint="default"/>
        </w:rPr>
        <w:t>沉浸式音频同步信号协议参照</w:t>
      </w:r>
      <w:r>
        <w:t>SMPTE ST 430-14:2015</w:t>
      </w:r>
      <w:bookmarkStart w:id="61" w:name="_Toc200958672"/>
      <w:bookmarkEnd w:id="61"/>
      <w:r>
        <w:t xml:space="preserve">  D-Cinema Operations-Digital Sync Signal and Aux Data Transfer Protocol</w:t>
      </w:r>
    </w:p>
    <w:p w14:paraId="55862576">
      <w:pPr>
        <w:pStyle w:val="108"/>
        <w:spacing w:before="156" w:after="156"/>
      </w:pPr>
      <w:bookmarkStart w:id="62" w:name="_Toc200958673"/>
      <w:bookmarkEnd w:id="62"/>
      <w:bookmarkStart w:id="63" w:name="_Toc203577725"/>
      <w:bookmarkEnd w:id="63"/>
      <w:bookmarkStart w:id="64" w:name="_Toc200977968"/>
      <w:bookmarkEnd w:id="64"/>
      <w:bookmarkStart w:id="65" w:name="_Toc203572907"/>
      <w:bookmarkEnd w:id="65"/>
      <w:bookmarkStart w:id="66" w:name="_Toc203393362"/>
      <w:bookmarkEnd w:id="66"/>
    </w:p>
    <w:p w14:paraId="1657FF7B">
      <w:pPr>
        <w:pStyle w:val="226"/>
        <w:numPr>
          <w:ilvl w:val="0"/>
          <w:numId w:val="0"/>
        </w:numPr>
        <w:ind w:left="420"/>
        <w:rPr>
          <w:rFonts w:hint="eastAsia" w:ascii="黑体" w:hAnsi="黑体" w:eastAsia="黑体"/>
        </w:rPr>
      </w:pPr>
      <w:r>
        <w:rPr>
          <w:rFonts w:hint="eastAsia" w:ascii="黑体" w:hAnsi="黑体" w:eastAsia="黑体"/>
        </w:rPr>
        <w:t>渲染 renderer</w:t>
      </w:r>
    </w:p>
    <w:p w14:paraId="48F0BC78">
      <w:pPr>
        <w:pStyle w:val="59"/>
        <w:ind w:firstLine="420"/>
      </w:pPr>
      <w:r>
        <w:rPr>
          <w:rFonts w:hint="eastAsia"/>
        </w:rPr>
        <w:t>指将基于声床和携带对象元数据的沉浸式音频内容转换为适合在影院声音系统中播放的音频信号。</w:t>
      </w:r>
    </w:p>
    <w:p w14:paraId="567B1691">
      <w:pPr>
        <w:pStyle w:val="108"/>
        <w:spacing w:before="156" w:after="156"/>
      </w:pPr>
      <w:bookmarkStart w:id="67" w:name="_Toc200977969"/>
      <w:bookmarkEnd w:id="67"/>
      <w:bookmarkStart w:id="68" w:name="_Toc203572908"/>
      <w:bookmarkEnd w:id="68"/>
      <w:bookmarkStart w:id="69" w:name="_Toc203393363"/>
      <w:bookmarkEnd w:id="69"/>
      <w:bookmarkStart w:id="70" w:name="_Toc203577726"/>
      <w:bookmarkEnd w:id="70"/>
    </w:p>
    <w:p w14:paraId="4B1DA3BF">
      <w:pPr>
        <w:pStyle w:val="226"/>
        <w:numPr>
          <w:ilvl w:val="0"/>
          <w:numId w:val="0"/>
        </w:numPr>
        <w:ind w:left="420"/>
        <w:rPr>
          <w:rFonts w:hint="eastAsia" w:ascii="黑体" w:hAnsi="黑体" w:eastAsia="黑体"/>
        </w:rPr>
      </w:pPr>
      <w:r>
        <w:rPr>
          <w:rFonts w:hint="eastAsia" w:ascii="黑体" w:hAnsi="黑体" w:eastAsia="黑体"/>
        </w:rPr>
        <w:t>声床 audio bed</w:t>
      </w:r>
    </w:p>
    <w:p w14:paraId="4B1FC5E1">
      <w:pPr>
        <w:pStyle w:val="226"/>
        <w:numPr>
          <w:ilvl w:val="0"/>
          <w:numId w:val="0"/>
        </w:numPr>
        <w:ind w:left="420"/>
      </w:pPr>
      <w:r>
        <w:rPr>
          <w:rFonts w:hint="eastAsia"/>
        </w:rPr>
        <w:t>组成沉浸式混音音轨基础的声场组。</w:t>
      </w:r>
    </w:p>
    <w:p w14:paraId="5239F8C9">
      <w:pPr>
        <w:pStyle w:val="184"/>
        <w:ind w:left="420"/>
      </w:pPr>
      <w:r>
        <w:rPr>
          <w:rFonts w:hint="eastAsia"/>
        </w:rPr>
        <w:t>7.1、9.1等。</w:t>
      </w:r>
    </w:p>
    <w:p w14:paraId="1CF72D5F">
      <w:pPr>
        <w:pStyle w:val="183"/>
        <w:widowControl/>
        <w:jc w:val="left"/>
      </w:pPr>
      <w:r>
        <w:rPr>
          <w:rFonts w:hint="eastAsia"/>
        </w:rPr>
        <w:t xml:space="preserve">一部影片沉浸式音频通常仅包含一组声床。 </w:t>
      </w:r>
    </w:p>
    <w:p w14:paraId="519446D0">
      <w:pPr>
        <w:pStyle w:val="183"/>
        <w:widowControl/>
        <w:jc w:val="left"/>
      </w:pPr>
      <w:r>
        <w:rPr>
          <w:rFonts w:hint="eastAsia"/>
        </w:rPr>
        <w:t>声床的扬声器分配通常是静态的，在整个节目中不会改变。</w:t>
      </w:r>
    </w:p>
    <w:p w14:paraId="406D8755">
      <w:pPr>
        <w:pStyle w:val="183"/>
      </w:pPr>
      <w:r>
        <w:rPr>
          <w:rFonts w:hint="eastAsia"/>
        </w:rPr>
        <w:t>7.1声床L、R、C、LFE、Lss、Rss、Lrs、Rrs。</w:t>
      </w:r>
    </w:p>
    <w:p w14:paraId="44EDA5B0">
      <w:pPr>
        <w:pStyle w:val="183"/>
      </w:pPr>
      <w:r>
        <w:rPr>
          <w:rFonts w:hint="eastAsia"/>
        </w:rPr>
        <w:t>9.1声床L、R、C、LFE、Lss、Rss、Lrs、Rrs、Lts、Rts。</w:t>
      </w:r>
    </w:p>
    <w:p w14:paraId="7D10468C">
      <w:pPr>
        <w:pStyle w:val="183"/>
        <w:numPr>
          <w:ilvl w:val="0"/>
          <w:numId w:val="0"/>
        </w:numPr>
        <w:ind w:left="0" w:firstLine="0"/>
      </w:pPr>
    </w:p>
    <w:p w14:paraId="6BFA3AA9">
      <w:pPr>
        <w:pStyle w:val="108"/>
        <w:spacing w:before="156" w:after="156"/>
      </w:pPr>
      <w:bookmarkStart w:id="71" w:name="_Toc203572909"/>
      <w:bookmarkEnd w:id="71"/>
      <w:bookmarkStart w:id="72" w:name="_Toc203577727"/>
      <w:bookmarkEnd w:id="72"/>
      <w:bookmarkStart w:id="73" w:name="_Toc203393364"/>
      <w:bookmarkEnd w:id="73"/>
      <w:bookmarkStart w:id="74" w:name="_Toc200977970"/>
      <w:bookmarkEnd w:id="74"/>
    </w:p>
    <w:p w14:paraId="79A94A8B">
      <w:pPr>
        <w:pStyle w:val="226"/>
        <w:numPr>
          <w:ilvl w:val="0"/>
          <w:numId w:val="0"/>
        </w:numPr>
        <w:ind w:left="420"/>
        <w:rPr>
          <w:rFonts w:hint="eastAsia" w:ascii="黑体" w:hAnsi="黑体" w:eastAsia="黑体"/>
        </w:rPr>
      </w:pPr>
      <w:bookmarkStart w:id="75" w:name="OLE_LINK3"/>
      <w:r>
        <w:rPr>
          <w:rFonts w:hint="eastAsia" w:ascii="黑体" w:hAnsi="黑体" w:eastAsia="黑体"/>
        </w:rPr>
        <w:t>对象元数据 object metadata</w:t>
      </w:r>
    </w:p>
    <w:p w14:paraId="6E9DBF16">
      <w:pPr>
        <w:pStyle w:val="59"/>
        <w:ind w:firstLine="420"/>
      </w:pPr>
      <w:r>
        <w:rPr>
          <w:rFonts w:hint="eastAsia"/>
        </w:rPr>
        <w:t>用于规定声音对象在三维空间中的增益、位置、尺寸、距离、声像运动等属性的信息。</w:t>
      </w:r>
    </w:p>
    <w:p w14:paraId="34B8B44A">
      <w:pPr>
        <w:pStyle w:val="183"/>
      </w:pPr>
      <w:r>
        <w:rPr>
          <w:rFonts w:hint="eastAsia"/>
        </w:rPr>
        <w:t>影院音频对象位置元数据与影厅空间信息的映射关系见附录A。</w:t>
      </w:r>
    </w:p>
    <w:p w14:paraId="2CE95A1E">
      <w:pPr>
        <w:pStyle w:val="183"/>
      </w:pPr>
      <w:r>
        <w:rPr>
          <w:rFonts w:hint="eastAsia"/>
        </w:rPr>
        <w:t>影院音频对象位置元数据与Audio Vivid元数据映射关系见附录B。</w:t>
      </w:r>
    </w:p>
    <w:bookmarkEnd w:id="75"/>
    <w:p w14:paraId="0F330592">
      <w:pPr>
        <w:pStyle w:val="108"/>
        <w:spacing w:before="156" w:after="156"/>
      </w:pPr>
      <w:bookmarkStart w:id="76" w:name="_Toc203393365"/>
      <w:bookmarkEnd w:id="76"/>
      <w:bookmarkStart w:id="77" w:name="_Toc203577728"/>
      <w:bookmarkEnd w:id="77"/>
      <w:bookmarkStart w:id="78" w:name="_Toc200977971"/>
      <w:bookmarkEnd w:id="78"/>
      <w:bookmarkStart w:id="79" w:name="_Toc203572910"/>
      <w:bookmarkEnd w:id="79"/>
    </w:p>
    <w:p w14:paraId="33696F42">
      <w:pPr>
        <w:pStyle w:val="226"/>
        <w:numPr>
          <w:ilvl w:val="0"/>
          <w:numId w:val="0"/>
        </w:numPr>
        <w:ind w:left="420"/>
        <w:rPr>
          <w:rFonts w:hint="eastAsia" w:ascii="黑体" w:hAnsi="黑体" w:eastAsia="黑体"/>
        </w:rPr>
      </w:pPr>
      <w:r>
        <w:rPr>
          <w:rFonts w:hint="eastAsia" w:ascii="黑体" w:hAnsi="黑体" w:eastAsia="黑体"/>
        </w:rPr>
        <w:t>音频通路 audio route</w:t>
      </w:r>
    </w:p>
    <w:p w14:paraId="6EDDF9CF">
      <w:pPr>
        <w:pStyle w:val="59"/>
        <w:ind w:firstLine="420"/>
      </w:pPr>
      <w:r>
        <w:rPr>
          <w:rFonts w:hint="eastAsia"/>
        </w:rPr>
        <w:t>用于还原沉浸式音频声床和对象内容的音频通道。</w:t>
      </w:r>
    </w:p>
    <w:p w14:paraId="54C57B4D">
      <w:pPr>
        <w:pStyle w:val="107"/>
        <w:spacing w:before="312" w:after="312"/>
      </w:pPr>
      <w:bookmarkStart w:id="80" w:name="_Toc203393366"/>
      <w:bookmarkEnd w:id="80"/>
      <w:bookmarkStart w:id="81" w:name="_Toc203572911"/>
      <w:bookmarkEnd w:id="81"/>
      <w:bookmarkStart w:id="82" w:name="_Toc203577729"/>
      <w:bookmarkEnd w:id="82"/>
      <w:bookmarkStart w:id="83" w:name="_Toc200977972"/>
      <w:bookmarkEnd w:id="83"/>
      <w:bookmarkStart w:id="84" w:name="_Toc203577730"/>
      <w:r>
        <w:rPr>
          <w:rFonts w:hint="eastAsia"/>
        </w:rPr>
        <w:t>缩略语</w:t>
      </w:r>
      <w:bookmarkEnd w:id="84"/>
    </w:p>
    <w:p w14:paraId="3718119D">
      <w:pPr>
        <w:pStyle w:val="59"/>
        <w:ind w:firstLine="420"/>
      </w:pPr>
      <w:r>
        <w:rPr>
          <w:rFonts w:hint="eastAsia"/>
        </w:rPr>
        <w:t>下列缩略语适用于本文件。</w:t>
      </w:r>
    </w:p>
    <w:p w14:paraId="3168894E">
      <w:pPr>
        <w:pStyle w:val="59"/>
        <w:ind w:firstLine="420"/>
      </w:pPr>
      <w:r>
        <w:rPr>
          <w:rFonts w:hint="eastAsia"/>
        </w:rPr>
        <w:t>AES/EBU 音频工程师协会/欧洲广播联盟（Audio Engineering Society/European Broadcast Union）</w:t>
      </w:r>
    </w:p>
    <w:p w14:paraId="126843F0">
      <w:pPr>
        <w:pStyle w:val="59"/>
        <w:ind w:firstLine="420"/>
      </w:pPr>
      <w:r>
        <w:rPr>
          <w:rFonts w:hint="eastAsia"/>
        </w:rPr>
        <w:t>C 中置声道（Center）</w:t>
      </w:r>
    </w:p>
    <w:p w14:paraId="4503166B">
      <w:pPr>
        <w:pStyle w:val="59"/>
        <w:ind w:firstLine="420"/>
      </w:pPr>
      <w:r>
        <w:rPr>
          <w:rFonts w:hint="eastAsia"/>
        </w:rPr>
        <w:t>DCP 数字影院数据包（Digital Cinema Package）</w:t>
      </w:r>
    </w:p>
    <w:p w14:paraId="227FE49C">
      <w:pPr>
        <w:pStyle w:val="59"/>
        <w:ind w:firstLine="420"/>
      </w:pPr>
      <w:r>
        <w:rPr>
          <w:rFonts w:hint="eastAsia"/>
        </w:rPr>
        <w:t>HTTP 超文本传输协议（HyperText Transfer Protocol ）</w:t>
      </w:r>
    </w:p>
    <w:p w14:paraId="53BD19B3">
      <w:pPr>
        <w:pStyle w:val="59"/>
        <w:ind w:firstLine="420"/>
      </w:pPr>
      <w:r>
        <w:rPr>
          <w:rFonts w:hint="eastAsia"/>
        </w:rPr>
        <w:t>L 左声道（Left）</w:t>
      </w:r>
    </w:p>
    <w:p w14:paraId="188FBC79">
      <w:pPr>
        <w:pStyle w:val="59"/>
        <w:ind w:firstLine="420"/>
      </w:pPr>
      <w:r>
        <w:rPr>
          <w:rFonts w:hint="eastAsia"/>
        </w:rPr>
        <w:t>LFE 次低频声道（Low Frequency Effects）</w:t>
      </w:r>
    </w:p>
    <w:p w14:paraId="5D3E3CA1">
      <w:pPr>
        <w:pStyle w:val="59"/>
        <w:ind w:firstLine="420"/>
      </w:pPr>
      <w:r>
        <w:rPr>
          <w:rFonts w:hint="eastAsia"/>
        </w:rPr>
        <w:t>Lrs 左后环绕声道（Left rear surround）</w:t>
      </w:r>
    </w:p>
    <w:p w14:paraId="37A8E20D">
      <w:pPr>
        <w:pStyle w:val="59"/>
        <w:ind w:firstLine="420"/>
      </w:pPr>
      <w:r>
        <w:rPr>
          <w:rFonts w:hint="eastAsia"/>
        </w:rPr>
        <w:t>Lss 左侧环绕声道（Left side surround）</w:t>
      </w:r>
    </w:p>
    <w:p w14:paraId="64F4E656">
      <w:pPr>
        <w:pStyle w:val="59"/>
        <w:ind w:firstLine="420"/>
      </w:pPr>
      <w:r>
        <w:rPr>
          <w:rFonts w:hint="eastAsia"/>
        </w:rPr>
        <w:t>Lts 左顶环绕声道（Left top surround）</w:t>
      </w:r>
    </w:p>
    <w:p w14:paraId="22355460">
      <w:pPr>
        <w:pStyle w:val="59"/>
        <w:ind w:firstLine="420"/>
      </w:pPr>
      <w:r>
        <w:rPr>
          <w:rFonts w:hint="eastAsia"/>
        </w:rPr>
        <w:t>R 右声道（Right）</w:t>
      </w:r>
    </w:p>
    <w:p w14:paraId="72F2A643">
      <w:pPr>
        <w:pStyle w:val="59"/>
        <w:ind w:firstLine="420"/>
      </w:pPr>
      <w:r>
        <w:rPr>
          <w:rFonts w:hint="eastAsia"/>
        </w:rPr>
        <w:t>Rrs 右后环绕声道（Right rear surround）</w:t>
      </w:r>
    </w:p>
    <w:p w14:paraId="61E14BCD">
      <w:pPr>
        <w:pStyle w:val="59"/>
        <w:ind w:firstLine="420"/>
      </w:pPr>
      <w:r>
        <w:rPr>
          <w:rFonts w:hint="eastAsia"/>
        </w:rPr>
        <w:t>Rss 右侧环绕声道（Right side surround）</w:t>
      </w:r>
    </w:p>
    <w:p w14:paraId="1B25F43B">
      <w:pPr>
        <w:pStyle w:val="59"/>
        <w:ind w:firstLine="420"/>
      </w:pPr>
      <w:r>
        <w:rPr>
          <w:rFonts w:hint="eastAsia"/>
        </w:rPr>
        <w:t>Rts 右顶环绕声道（Right top surround）</w:t>
      </w:r>
    </w:p>
    <w:p w14:paraId="1A173F79">
      <w:pPr>
        <w:pStyle w:val="59"/>
        <w:ind w:firstLine="420"/>
      </w:pPr>
      <w:r>
        <w:rPr>
          <w:rFonts w:hint="eastAsia"/>
        </w:rPr>
        <w:t>XLR 卡侬接头（Cannon XL-series）</w:t>
      </w:r>
    </w:p>
    <w:p w14:paraId="08EAB5BD">
      <w:pPr>
        <w:pStyle w:val="107"/>
        <w:spacing w:before="312" w:after="312"/>
      </w:pPr>
      <w:bookmarkStart w:id="85" w:name="_Toc203577731"/>
      <w:bookmarkStart w:id="86" w:name="_Toc54597421"/>
      <w:r>
        <w:rPr>
          <w:rFonts w:hint="eastAsia"/>
        </w:rPr>
        <w:t>技术要求</w:t>
      </w:r>
      <w:bookmarkEnd w:id="85"/>
      <w:bookmarkEnd w:id="86"/>
    </w:p>
    <w:p w14:paraId="2F4AD0A7">
      <w:pPr>
        <w:pStyle w:val="108"/>
        <w:spacing w:before="156" w:after="156"/>
      </w:pPr>
      <w:bookmarkStart w:id="87" w:name="_Toc203577732"/>
      <w:r>
        <w:rPr>
          <w:rFonts w:hint="eastAsia"/>
        </w:rPr>
        <w:t>基本功能</w:t>
      </w:r>
      <w:bookmarkEnd w:id="87"/>
    </w:p>
    <w:p w14:paraId="64336AF6">
      <w:pPr>
        <w:pStyle w:val="59"/>
        <w:ind w:firstLine="420"/>
      </w:pPr>
      <w:bookmarkStart w:id="88" w:name="OLE_LINK25"/>
      <w:r>
        <w:rPr>
          <w:rFonts w:hint="eastAsia"/>
        </w:rPr>
        <w:t>数字影院沉浸式音频处理器</w:t>
      </w:r>
      <w:bookmarkEnd w:id="88"/>
      <w:r>
        <w:rPr>
          <w:rFonts w:hint="eastAsia"/>
        </w:rPr>
        <w:t>基本功能技术要求应符合表1的规定</w:t>
      </w:r>
    </w:p>
    <w:p w14:paraId="239B4678">
      <w:pPr>
        <w:pStyle w:val="115"/>
        <w:spacing w:before="156" w:after="156"/>
        <w:ind w:left="0"/>
      </w:pPr>
      <w:r>
        <w:rPr>
          <w:rFonts w:hint="eastAsia"/>
        </w:rPr>
        <w:t>沉浸式音频处理器基本功能技术要求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843"/>
        <w:gridCol w:w="6650"/>
      </w:tblGrid>
      <w:tr w14:paraId="74673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vAlign w:val="center"/>
          </w:tcPr>
          <w:p w14:paraId="16EB410A">
            <w:pPr>
              <w:pStyle w:val="181"/>
            </w:pPr>
            <w:r>
              <w:rPr>
                <w:rFonts w:hint="eastAsia"/>
              </w:rPr>
              <w:t>序号</w:t>
            </w:r>
          </w:p>
        </w:tc>
        <w:tc>
          <w:tcPr>
            <w:tcW w:w="1843" w:type="dxa"/>
            <w:tcBorders>
              <w:top w:val="single" w:color="auto" w:sz="8" w:space="0"/>
              <w:bottom w:val="single" w:color="auto" w:sz="8" w:space="0"/>
            </w:tcBorders>
            <w:vAlign w:val="center"/>
          </w:tcPr>
          <w:p w14:paraId="5A2ACF22">
            <w:pPr>
              <w:pStyle w:val="181"/>
            </w:pPr>
            <w:r>
              <w:rPr>
                <w:rFonts w:hint="eastAsia"/>
              </w:rPr>
              <w:t>参数</w:t>
            </w:r>
          </w:p>
        </w:tc>
        <w:tc>
          <w:tcPr>
            <w:tcW w:w="6650" w:type="dxa"/>
            <w:tcBorders>
              <w:top w:val="single" w:color="auto" w:sz="8" w:space="0"/>
              <w:bottom w:val="single" w:color="auto" w:sz="8" w:space="0"/>
            </w:tcBorders>
            <w:vAlign w:val="center"/>
          </w:tcPr>
          <w:p w14:paraId="37593587">
            <w:pPr>
              <w:pStyle w:val="181"/>
            </w:pPr>
            <w:r>
              <w:rPr>
                <w:rFonts w:hint="eastAsia"/>
              </w:rPr>
              <w:t>技术要求</w:t>
            </w:r>
          </w:p>
        </w:tc>
      </w:tr>
      <w:tr w14:paraId="5FDCC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vAlign w:val="center"/>
          </w:tcPr>
          <w:p w14:paraId="37CD1983">
            <w:pPr>
              <w:pStyle w:val="181"/>
            </w:pPr>
            <w:r>
              <w:rPr>
                <w:rFonts w:hint="eastAsia"/>
              </w:rPr>
              <w:t>1</w:t>
            </w:r>
          </w:p>
        </w:tc>
        <w:tc>
          <w:tcPr>
            <w:tcW w:w="1843" w:type="dxa"/>
            <w:tcBorders>
              <w:top w:val="single" w:color="auto" w:sz="8" w:space="0"/>
            </w:tcBorders>
            <w:vAlign w:val="center"/>
          </w:tcPr>
          <w:p w14:paraId="525889D6">
            <w:pPr>
              <w:pStyle w:val="135"/>
              <w:numPr>
                <w:ilvl w:val="0"/>
                <w:numId w:val="0"/>
              </w:numPr>
              <w:ind w:left="470" w:leftChars="21" w:right="105" w:rightChars="50" w:hanging="426"/>
              <w:jc w:val="center"/>
              <w:rPr>
                <w:rFonts w:hint="eastAsia" w:hAnsi="宋体"/>
                <w:sz w:val="18"/>
                <w:szCs w:val="18"/>
              </w:rPr>
            </w:pPr>
            <w:r>
              <w:rPr>
                <w:rFonts w:hint="eastAsia" w:hAnsi="宋体"/>
                <w:sz w:val="18"/>
                <w:szCs w:val="18"/>
              </w:rPr>
              <w:t>信号发生</w:t>
            </w:r>
          </w:p>
        </w:tc>
        <w:tc>
          <w:tcPr>
            <w:tcW w:w="6650" w:type="dxa"/>
            <w:tcBorders>
              <w:top w:val="single" w:color="auto" w:sz="8" w:space="0"/>
            </w:tcBorders>
            <w:vAlign w:val="center"/>
          </w:tcPr>
          <w:p w14:paraId="29ACA904">
            <w:pPr>
              <w:pStyle w:val="135"/>
              <w:numPr>
                <w:ilvl w:val="0"/>
                <w:numId w:val="0"/>
              </w:numPr>
              <w:ind w:right="105" w:rightChars="50"/>
              <w:rPr>
                <w:rFonts w:hint="eastAsia" w:hAnsi="宋体"/>
                <w:sz w:val="18"/>
                <w:szCs w:val="18"/>
              </w:rPr>
            </w:pPr>
            <w:r>
              <w:rPr>
                <w:rFonts w:hint="eastAsia" w:hAnsi="宋体"/>
                <w:sz w:val="18"/>
                <w:szCs w:val="18"/>
              </w:rPr>
              <w:t>各输出通道应具备粉红噪声信号（-20dBFS,20Hz～20kHz）、正弦波信号（-20dBFS，997Hz）发生功能</w:t>
            </w:r>
          </w:p>
        </w:tc>
      </w:tr>
      <w:tr w14:paraId="0DD67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tcBorders>
              <w:top w:val="single" w:color="auto" w:sz="8" w:space="0"/>
            </w:tcBorders>
            <w:vAlign w:val="center"/>
          </w:tcPr>
          <w:p w14:paraId="332C6BE8">
            <w:pPr>
              <w:pStyle w:val="181"/>
            </w:pPr>
            <w:r>
              <w:rPr>
                <w:rFonts w:hint="eastAsia"/>
              </w:rPr>
              <w:t>2</w:t>
            </w:r>
          </w:p>
        </w:tc>
        <w:tc>
          <w:tcPr>
            <w:tcW w:w="1843" w:type="dxa"/>
            <w:vMerge w:val="restart"/>
            <w:tcBorders>
              <w:top w:val="single" w:color="auto" w:sz="8" w:space="0"/>
            </w:tcBorders>
            <w:vAlign w:val="center"/>
          </w:tcPr>
          <w:p w14:paraId="4A347208">
            <w:pPr>
              <w:pStyle w:val="181"/>
            </w:pPr>
            <w:r>
              <w:rPr>
                <w:rFonts w:hint="eastAsia"/>
              </w:rPr>
              <w:t>输入接口</w:t>
            </w:r>
          </w:p>
        </w:tc>
        <w:tc>
          <w:tcPr>
            <w:tcW w:w="6650" w:type="dxa"/>
            <w:tcBorders>
              <w:top w:val="single" w:color="auto" w:sz="8" w:space="0"/>
            </w:tcBorders>
            <w:vAlign w:val="center"/>
          </w:tcPr>
          <w:p w14:paraId="59077313">
            <w:pPr>
              <w:pStyle w:val="135"/>
              <w:numPr>
                <w:ilvl w:val="0"/>
                <w:numId w:val="0"/>
              </w:numPr>
              <w:ind w:left="470" w:leftChars="21" w:right="105" w:rightChars="50" w:hanging="426"/>
              <w:rPr>
                <w:rFonts w:hint="eastAsia" w:hAnsi="宋体"/>
                <w:sz w:val="18"/>
                <w:szCs w:val="18"/>
              </w:rPr>
            </w:pPr>
            <w:bookmarkStart w:id="89" w:name="OLE_LINK7"/>
            <w:r>
              <w:rPr>
                <w:rFonts w:hint="eastAsia" w:hAnsi="宋体"/>
                <w:sz w:val="18"/>
                <w:szCs w:val="18"/>
              </w:rPr>
              <w:t>应能够实时正确接收来自集成媒体模块的沉浸式音频</w:t>
            </w:r>
            <w:bookmarkEnd w:id="89"/>
            <w:r>
              <w:rPr>
                <w:rFonts w:hint="eastAsia" w:hAnsi="宋体"/>
                <w:sz w:val="18"/>
                <w:szCs w:val="18"/>
              </w:rPr>
              <w:t>比特流</w:t>
            </w:r>
          </w:p>
        </w:tc>
      </w:tr>
      <w:tr w14:paraId="1DBB3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77628731">
            <w:pPr>
              <w:pStyle w:val="181"/>
            </w:pPr>
          </w:p>
        </w:tc>
        <w:tc>
          <w:tcPr>
            <w:tcW w:w="1843" w:type="dxa"/>
            <w:vMerge w:val="continue"/>
            <w:vAlign w:val="center"/>
          </w:tcPr>
          <w:p w14:paraId="19E96B66">
            <w:pPr>
              <w:pStyle w:val="181"/>
            </w:pPr>
          </w:p>
        </w:tc>
        <w:tc>
          <w:tcPr>
            <w:tcW w:w="6650" w:type="dxa"/>
            <w:vAlign w:val="center"/>
          </w:tcPr>
          <w:p w14:paraId="2AC9E0A1">
            <w:pPr>
              <w:pStyle w:val="135"/>
              <w:numPr>
                <w:ilvl w:val="0"/>
                <w:numId w:val="0"/>
              </w:numPr>
              <w:ind w:left="470" w:leftChars="21" w:right="105" w:rightChars="50" w:hanging="426"/>
              <w:rPr>
                <w:rFonts w:hint="eastAsia" w:hAnsi="宋体"/>
                <w:sz w:val="18"/>
                <w:szCs w:val="18"/>
              </w:rPr>
            </w:pPr>
            <w:r>
              <w:rPr>
                <w:rFonts w:hint="eastAsia" w:hAnsi="宋体"/>
                <w:sz w:val="18"/>
                <w:szCs w:val="18"/>
              </w:rPr>
              <w:t>沉浸式音频比特流接收接口应遵循HTTP传输协议</w:t>
            </w:r>
          </w:p>
        </w:tc>
      </w:tr>
      <w:tr w14:paraId="310DD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32917339">
            <w:pPr>
              <w:pStyle w:val="181"/>
            </w:pPr>
          </w:p>
        </w:tc>
        <w:tc>
          <w:tcPr>
            <w:tcW w:w="1843" w:type="dxa"/>
            <w:vMerge w:val="continue"/>
            <w:vAlign w:val="center"/>
          </w:tcPr>
          <w:p w14:paraId="10FE130C">
            <w:pPr>
              <w:pStyle w:val="181"/>
            </w:pPr>
          </w:p>
        </w:tc>
        <w:tc>
          <w:tcPr>
            <w:tcW w:w="6650" w:type="dxa"/>
            <w:vAlign w:val="center"/>
          </w:tcPr>
          <w:p w14:paraId="7E2D75D1">
            <w:pPr>
              <w:pStyle w:val="135"/>
              <w:numPr>
                <w:ilvl w:val="0"/>
                <w:numId w:val="0"/>
              </w:numPr>
              <w:ind w:left="470" w:leftChars="21" w:right="105" w:rightChars="50" w:hanging="426"/>
              <w:rPr>
                <w:rFonts w:hint="eastAsia" w:hAnsi="宋体"/>
                <w:sz w:val="18"/>
                <w:szCs w:val="18"/>
              </w:rPr>
            </w:pPr>
            <w:bookmarkStart w:id="90" w:name="OLE_LINK8"/>
            <w:r>
              <w:rPr>
                <w:rFonts w:hint="eastAsia" w:hAnsi="宋体"/>
                <w:sz w:val="18"/>
                <w:szCs w:val="18"/>
              </w:rPr>
              <w:t>应能够实时正确接收沉浸式音频同步信号</w:t>
            </w:r>
            <w:bookmarkEnd w:id="90"/>
          </w:p>
        </w:tc>
      </w:tr>
      <w:tr w14:paraId="56DFF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7B13032D">
            <w:pPr>
              <w:pStyle w:val="181"/>
            </w:pPr>
          </w:p>
        </w:tc>
        <w:tc>
          <w:tcPr>
            <w:tcW w:w="1843" w:type="dxa"/>
            <w:vMerge w:val="continue"/>
            <w:vAlign w:val="center"/>
          </w:tcPr>
          <w:p w14:paraId="236DD614">
            <w:pPr>
              <w:pStyle w:val="181"/>
            </w:pPr>
          </w:p>
        </w:tc>
        <w:tc>
          <w:tcPr>
            <w:tcW w:w="6650" w:type="dxa"/>
            <w:vAlign w:val="center"/>
          </w:tcPr>
          <w:p w14:paraId="47BA7324">
            <w:pPr>
              <w:pStyle w:val="135"/>
              <w:numPr>
                <w:ilvl w:val="0"/>
                <w:numId w:val="0"/>
              </w:numPr>
              <w:ind w:left="470" w:leftChars="21" w:right="105" w:rightChars="50" w:hanging="426"/>
              <w:rPr>
                <w:rFonts w:hint="eastAsia" w:hAnsi="宋体"/>
                <w:sz w:val="18"/>
                <w:szCs w:val="18"/>
              </w:rPr>
            </w:pPr>
            <w:r>
              <w:rPr>
                <w:rFonts w:hint="eastAsia" w:hAnsi="宋体"/>
                <w:sz w:val="18"/>
                <w:szCs w:val="18"/>
              </w:rPr>
              <w:t>应至少支持8个</w:t>
            </w:r>
            <w:r>
              <w:rPr>
                <w:rFonts w:hAnsi="宋体"/>
                <w:sz w:val="18"/>
                <w:szCs w:val="18"/>
              </w:rPr>
              <w:t>AES/EBU</w:t>
            </w:r>
            <w:r>
              <w:rPr>
                <w:rFonts w:hint="eastAsia" w:hAnsi="宋体"/>
                <w:sz w:val="18"/>
                <w:szCs w:val="18"/>
              </w:rPr>
              <w:t>数字音频接口的输入</w:t>
            </w:r>
          </w:p>
        </w:tc>
      </w:tr>
      <w:tr w14:paraId="1BAE3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vAlign w:val="center"/>
          </w:tcPr>
          <w:p w14:paraId="6902948D">
            <w:pPr>
              <w:pStyle w:val="181"/>
            </w:pPr>
            <w:r>
              <w:rPr>
                <w:rFonts w:hint="eastAsia"/>
              </w:rPr>
              <w:t>3</w:t>
            </w:r>
          </w:p>
        </w:tc>
        <w:tc>
          <w:tcPr>
            <w:tcW w:w="1843" w:type="dxa"/>
            <w:vMerge w:val="restart"/>
            <w:vAlign w:val="center"/>
          </w:tcPr>
          <w:p w14:paraId="2309E5CD">
            <w:pPr>
              <w:pStyle w:val="181"/>
            </w:pPr>
            <w:r>
              <w:rPr>
                <w:rFonts w:hint="eastAsia"/>
              </w:rPr>
              <w:t>输出接口</w:t>
            </w:r>
          </w:p>
        </w:tc>
        <w:tc>
          <w:tcPr>
            <w:tcW w:w="6650" w:type="dxa"/>
            <w:vAlign w:val="center"/>
          </w:tcPr>
          <w:p w14:paraId="4DC1B79F">
            <w:pPr>
              <w:pStyle w:val="135"/>
              <w:numPr>
                <w:ilvl w:val="0"/>
                <w:numId w:val="0"/>
              </w:numPr>
              <w:ind w:left="470" w:leftChars="21" w:right="105" w:rightChars="50" w:hanging="426"/>
              <w:rPr>
                <w:rFonts w:hint="eastAsia" w:hAnsi="宋体"/>
                <w:sz w:val="18"/>
                <w:szCs w:val="18"/>
              </w:rPr>
            </w:pPr>
            <w:r>
              <w:rPr>
                <w:rFonts w:hint="eastAsia" w:hAnsi="宋体"/>
                <w:sz w:val="18"/>
                <w:szCs w:val="18"/>
              </w:rPr>
              <w:t>应至少支持32通道音频信号的输出</w:t>
            </w:r>
          </w:p>
        </w:tc>
      </w:tr>
      <w:tr w14:paraId="173BC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05F06FBF">
            <w:pPr>
              <w:pStyle w:val="181"/>
            </w:pPr>
          </w:p>
        </w:tc>
        <w:tc>
          <w:tcPr>
            <w:tcW w:w="1843" w:type="dxa"/>
            <w:vMerge w:val="continue"/>
            <w:vAlign w:val="center"/>
          </w:tcPr>
          <w:p w14:paraId="73FBAC87">
            <w:pPr>
              <w:pStyle w:val="181"/>
            </w:pPr>
          </w:p>
        </w:tc>
        <w:tc>
          <w:tcPr>
            <w:tcW w:w="6650" w:type="dxa"/>
            <w:vAlign w:val="center"/>
          </w:tcPr>
          <w:p w14:paraId="1916B573">
            <w:pPr>
              <w:pStyle w:val="135"/>
              <w:numPr>
                <w:ilvl w:val="0"/>
                <w:numId w:val="0"/>
              </w:numPr>
              <w:ind w:left="470" w:leftChars="21" w:right="105" w:rightChars="50" w:hanging="426"/>
              <w:rPr>
                <w:rFonts w:hint="eastAsia" w:hAnsi="宋体"/>
                <w:sz w:val="18"/>
                <w:szCs w:val="18"/>
              </w:rPr>
            </w:pPr>
            <w:r>
              <w:rPr>
                <w:rFonts w:hint="eastAsia" w:hAnsi="宋体"/>
                <w:sz w:val="18"/>
                <w:szCs w:val="18"/>
              </w:rPr>
              <w:t>应支持</w:t>
            </w:r>
            <w:r>
              <w:rPr>
                <w:rFonts w:hAnsi="宋体"/>
                <w:sz w:val="18"/>
                <w:szCs w:val="18"/>
              </w:rPr>
              <w:t>AES/EBU</w:t>
            </w:r>
            <w:r>
              <w:rPr>
                <w:rFonts w:hint="eastAsia" w:hAnsi="宋体"/>
                <w:sz w:val="18"/>
                <w:szCs w:val="18"/>
              </w:rPr>
              <w:t>数字音频输入接口对应输出通道接口的通道路由设置</w:t>
            </w:r>
          </w:p>
        </w:tc>
      </w:tr>
      <w:tr w14:paraId="0ED26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6A5DE2D5">
            <w:pPr>
              <w:pStyle w:val="181"/>
            </w:pPr>
          </w:p>
        </w:tc>
        <w:tc>
          <w:tcPr>
            <w:tcW w:w="1843" w:type="dxa"/>
            <w:vMerge w:val="continue"/>
            <w:vAlign w:val="center"/>
          </w:tcPr>
          <w:p w14:paraId="2ED3ECDB">
            <w:pPr>
              <w:pStyle w:val="181"/>
            </w:pPr>
          </w:p>
        </w:tc>
        <w:tc>
          <w:tcPr>
            <w:tcW w:w="6650" w:type="dxa"/>
            <w:vAlign w:val="center"/>
          </w:tcPr>
          <w:p w14:paraId="1332617B">
            <w:pPr>
              <w:pStyle w:val="135"/>
              <w:numPr>
                <w:ilvl w:val="0"/>
                <w:numId w:val="0"/>
              </w:numPr>
              <w:ind w:left="470" w:leftChars="21" w:right="105" w:rightChars="50" w:hanging="426"/>
              <w:rPr>
                <w:rFonts w:hint="eastAsia" w:hAnsi="宋体"/>
                <w:sz w:val="18"/>
                <w:szCs w:val="18"/>
              </w:rPr>
            </w:pPr>
            <w:r>
              <w:rPr>
                <w:rFonts w:hint="eastAsia" w:hAnsi="宋体"/>
                <w:sz w:val="18"/>
                <w:szCs w:val="18"/>
              </w:rPr>
              <w:t xml:space="preserve">应至少具备2路非同步音频输入、输出接口 </w:t>
            </w:r>
          </w:p>
        </w:tc>
      </w:tr>
      <w:tr w14:paraId="7CB9F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vAlign w:val="center"/>
          </w:tcPr>
          <w:p w14:paraId="3A1D5C99">
            <w:pPr>
              <w:pStyle w:val="181"/>
            </w:pPr>
            <w:r>
              <w:rPr>
                <w:rFonts w:hint="eastAsia"/>
              </w:rPr>
              <w:t>4</w:t>
            </w:r>
          </w:p>
        </w:tc>
        <w:tc>
          <w:tcPr>
            <w:tcW w:w="1843" w:type="dxa"/>
            <w:vMerge w:val="restart"/>
            <w:vAlign w:val="center"/>
          </w:tcPr>
          <w:p w14:paraId="13763094">
            <w:pPr>
              <w:pStyle w:val="181"/>
            </w:pPr>
            <w:r>
              <w:rPr>
                <w:rFonts w:hint="eastAsia"/>
              </w:rPr>
              <w:t>解码</w:t>
            </w:r>
          </w:p>
        </w:tc>
        <w:tc>
          <w:tcPr>
            <w:tcW w:w="6650" w:type="dxa"/>
            <w:vAlign w:val="center"/>
          </w:tcPr>
          <w:p w14:paraId="38324CD2">
            <w:pPr>
              <w:pStyle w:val="135"/>
              <w:numPr>
                <w:ilvl w:val="0"/>
                <w:numId w:val="0"/>
              </w:numPr>
              <w:ind w:left="470" w:leftChars="21" w:right="105" w:rightChars="50" w:hanging="426"/>
              <w:rPr>
                <w:rFonts w:hint="eastAsia" w:hAnsi="宋体"/>
                <w:sz w:val="18"/>
                <w:szCs w:val="18"/>
              </w:rPr>
            </w:pPr>
            <w:r>
              <w:rPr>
                <w:rFonts w:hint="eastAsia" w:hAnsi="宋体"/>
                <w:sz w:val="18"/>
                <w:szCs w:val="18"/>
              </w:rPr>
              <w:t>应支持数字电影沉浸式音频比特流的解码</w:t>
            </w:r>
          </w:p>
        </w:tc>
      </w:tr>
      <w:tr w14:paraId="7ABA1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0458B502">
            <w:pPr>
              <w:pStyle w:val="181"/>
            </w:pPr>
          </w:p>
        </w:tc>
        <w:tc>
          <w:tcPr>
            <w:tcW w:w="1843" w:type="dxa"/>
            <w:vMerge w:val="continue"/>
            <w:vAlign w:val="center"/>
          </w:tcPr>
          <w:p w14:paraId="5A24C5FF">
            <w:pPr>
              <w:pStyle w:val="181"/>
            </w:pPr>
          </w:p>
        </w:tc>
        <w:tc>
          <w:tcPr>
            <w:tcW w:w="6650" w:type="dxa"/>
            <w:vAlign w:val="center"/>
          </w:tcPr>
          <w:p w14:paraId="4FCCB149">
            <w:pPr>
              <w:pStyle w:val="135"/>
              <w:numPr>
                <w:ilvl w:val="0"/>
                <w:numId w:val="0"/>
              </w:numPr>
              <w:ind w:left="470" w:leftChars="21" w:right="105" w:rightChars="50" w:hanging="426"/>
              <w:rPr>
                <w:rFonts w:hint="eastAsia" w:hAnsi="宋体"/>
                <w:sz w:val="18"/>
                <w:szCs w:val="18"/>
              </w:rPr>
            </w:pPr>
            <w:r>
              <w:rPr>
                <w:rFonts w:hint="eastAsia" w:hAnsi="宋体"/>
                <w:sz w:val="18"/>
                <w:szCs w:val="18"/>
              </w:rPr>
              <w:t>应支持沉浸式音频同步信号的解析</w:t>
            </w:r>
          </w:p>
        </w:tc>
      </w:tr>
      <w:tr w14:paraId="307C7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vAlign w:val="center"/>
          </w:tcPr>
          <w:p w14:paraId="50C5AE98">
            <w:pPr>
              <w:pStyle w:val="181"/>
            </w:pPr>
            <w:r>
              <w:rPr>
                <w:rFonts w:hint="eastAsia"/>
              </w:rPr>
              <w:t>5</w:t>
            </w:r>
          </w:p>
        </w:tc>
        <w:tc>
          <w:tcPr>
            <w:tcW w:w="1843" w:type="dxa"/>
            <w:vMerge w:val="restart"/>
            <w:vAlign w:val="center"/>
          </w:tcPr>
          <w:p w14:paraId="4AC7CDC4">
            <w:pPr>
              <w:pStyle w:val="181"/>
            </w:pPr>
            <w:r>
              <w:rPr>
                <w:rFonts w:hint="eastAsia"/>
              </w:rPr>
              <w:t>渲染</w:t>
            </w:r>
          </w:p>
        </w:tc>
        <w:tc>
          <w:tcPr>
            <w:tcW w:w="6650" w:type="dxa"/>
            <w:vAlign w:val="center"/>
          </w:tcPr>
          <w:p w14:paraId="6E2DBC28">
            <w:pPr>
              <w:pStyle w:val="135"/>
              <w:numPr>
                <w:ilvl w:val="0"/>
                <w:numId w:val="0"/>
              </w:numPr>
              <w:ind w:left="470" w:leftChars="21" w:right="105" w:rightChars="50" w:hanging="426"/>
              <w:rPr>
                <w:rFonts w:hint="eastAsia" w:hAnsi="宋体"/>
                <w:sz w:val="18"/>
                <w:szCs w:val="18"/>
              </w:rPr>
            </w:pPr>
            <w:r>
              <w:rPr>
                <w:rFonts w:hint="eastAsia" w:hAnsi="宋体"/>
                <w:sz w:val="18"/>
                <w:szCs w:val="18"/>
              </w:rPr>
              <w:t>应至少支持7</w:t>
            </w:r>
            <w:r>
              <w:rPr>
                <w:rFonts w:hAnsi="宋体"/>
                <w:sz w:val="18"/>
                <w:szCs w:val="18"/>
              </w:rPr>
              <w:t>.1</w:t>
            </w:r>
            <w:r>
              <w:rPr>
                <w:rFonts w:hint="eastAsia" w:hAnsi="宋体"/>
                <w:sz w:val="18"/>
                <w:szCs w:val="18"/>
              </w:rPr>
              <w:t>和9.</w:t>
            </w:r>
            <w:r>
              <w:rPr>
                <w:rFonts w:hAnsi="宋体"/>
                <w:sz w:val="18"/>
                <w:szCs w:val="18"/>
              </w:rPr>
              <w:t>1</w:t>
            </w:r>
            <w:r>
              <w:rPr>
                <w:rFonts w:hint="eastAsia" w:hAnsi="宋体"/>
                <w:sz w:val="18"/>
                <w:szCs w:val="18"/>
              </w:rPr>
              <w:t>基础声床轨道的渲染，</w:t>
            </w:r>
            <w:bookmarkStart w:id="91" w:name="OLE_LINK2"/>
            <w:r>
              <w:rPr>
                <w:rFonts w:hint="eastAsia" w:hAnsi="宋体"/>
                <w:sz w:val="18"/>
                <w:szCs w:val="18"/>
              </w:rPr>
              <w:t>7.</w:t>
            </w:r>
            <w:r>
              <w:rPr>
                <w:rFonts w:hAnsi="宋体"/>
                <w:sz w:val="18"/>
                <w:szCs w:val="18"/>
              </w:rPr>
              <w:t>1</w:t>
            </w:r>
            <w:r>
              <w:rPr>
                <w:rFonts w:hint="eastAsia" w:hAnsi="宋体"/>
                <w:sz w:val="18"/>
                <w:szCs w:val="18"/>
              </w:rPr>
              <w:t>基础声床轨道顺序为</w:t>
            </w:r>
            <w:r>
              <w:rPr>
                <w:rFonts w:hAnsi="宋体"/>
                <w:sz w:val="18"/>
                <w:szCs w:val="18"/>
              </w:rPr>
              <w:t>L</w:t>
            </w:r>
            <w:r>
              <w:rPr>
                <w:rFonts w:hint="eastAsia" w:hAnsi="宋体"/>
                <w:sz w:val="18"/>
                <w:szCs w:val="18"/>
              </w:rPr>
              <w:t>、</w:t>
            </w:r>
            <w:r>
              <w:rPr>
                <w:rFonts w:hAnsi="宋体"/>
                <w:sz w:val="18"/>
                <w:szCs w:val="18"/>
              </w:rPr>
              <w:t>R</w:t>
            </w:r>
            <w:r>
              <w:rPr>
                <w:rFonts w:hint="eastAsia" w:hAnsi="宋体"/>
                <w:sz w:val="18"/>
                <w:szCs w:val="18"/>
              </w:rPr>
              <w:t>、</w:t>
            </w:r>
            <w:r>
              <w:rPr>
                <w:rFonts w:hAnsi="宋体"/>
                <w:sz w:val="18"/>
                <w:szCs w:val="18"/>
              </w:rPr>
              <w:t>C</w:t>
            </w:r>
            <w:r>
              <w:rPr>
                <w:rFonts w:hint="eastAsia" w:hAnsi="宋体"/>
                <w:sz w:val="18"/>
                <w:szCs w:val="18"/>
              </w:rPr>
              <w:t>、</w:t>
            </w:r>
          </w:p>
          <w:p w14:paraId="6B983035">
            <w:pPr>
              <w:pStyle w:val="135"/>
              <w:numPr>
                <w:ilvl w:val="0"/>
                <w:numId w:val="0"/>
              </w:numPr>
              <w:ind w:left="470" w:leftChars="21" w:right="105" w:rightChars="50" w:hanging="426"/>
              <w:rPr>
                <w:rFonts w:hint="eastAsia" w:hAnsi="宋体"/>
                <w:sz w:val="18"/>
                <w:szCs w:val="18"/>
              </w:rPr>
            </w:pPr>
            <w:r>
              <w:rPr>
                <w:rFonts w:hAnsi="宋体"/>
                <w:sz w:val="18"/>
                <w:szCs w:val="18"/>
              </w:rPr>
              <w:t>LFE</w:t>
            </w:r>
            <w:r>
              <w:rPr>
                <w:rFonts w:hint="eastAsia" w:hAnsi="宋体"/>
                <w:sz w:val="18"/>
                <w:szCs w:val="18"/>
              </w:rPr>
              <w:t>、</w:t>
            </w:r>
            <w:r>
              <w:rPr>
                <w:rFonts w:hAnsi="宋体"/>
                <w:sz w:val="18"/>
                <w:szCs w:val="18"/>
              </w:rPr>
              <w:t>Lss</w:t>
            </w:r>
            <w:r>
              <w:rPr>
                <w:rFonts w:hint="eastAsia" w:hAnsi="宋体"/>
                <w:sz w:val="18"/>
                <w:szCs w:val="18"/>
              </w:rPr>
              <w:t>、</w:t>
            </w:r>
            <w:r>
              <w:rPr>
                <w:rFonts w:hAnsi="宋体"/>
                <w:sz w:val="18"/>
                <w:szCs w:val="18"/>
              </w:rPr>
              <w:t>Rss</w:t>
            </w:r>
            <w:r>
              <w:rPr>
                <w:rFonts w:hint="eastAsia" w:hAnsi="宋体"/>
                <w:sz w:val="18"/>
                <w:szCs w:val="18"/>
              </w:rPr>
              <w:t>、</w:t>
            </w:r>
            <w:r>
              <w:rPr>
                <w:rFonts w:hAnsi="宋体"/>
                <w:sz w:val="18"/>
                <w:szCs w:val="18"/>
              </w:rPr>
              <w:t>Lrs</w:t>
            </w:r>
            <w:r>
              <w:rPr>
                <w:rFonts w:hint="eastAsia" w:hAnsi="宋体"/>
                <w:sz w:val="18"/>
                <w:szCs w:val="18"/>
              </w:rPr>
              <w:t>、</w:t>
            </w:r>
            <w:r>
              <w:rPr>
                <w:rFonts w:hAnsi="宋体"/>
                <w:sz w:val="18"/>
                <w:szCs w:val="18"/>
              </w:rPr>
              <w:t>Rrs</w:t>
            </w:r>
            <w:r>
              <w:rPr>
                <w:rFonts w:hint="eastAsia" w:hAnsi="宋体"/>
                <w:sz w:val="18"/>
                <w:szCs w:val="18"/>
              </w:rPr>
              <w:t>，9</w:t>
            </w:r>
            <w:r>
              <w:rPr>
                <w:rFonts w:hAnsi="宋体"/>
                <w:sz w:val="18"/>
                <w:szCs w:val="18"/>
              </w:rPr>
              <w:t>.1</w:t>
            </w:r>
            <w:r>
              <w:rPr>
                <w:rFonts w:hint="eastAsia" w:hAnsi="宋体"/>
                <w:sz w:val="18"/>
                <w:szCs w:val="18"/>
              </w:rPr>
              <w:t>基础声床轨道顺序为</w:t>
            </w:r>
            <w:r>
              <w:rPr>
                <w:rFonts w:hAnsi="宋体"/>
                <w:sz w:val="18"/>
                <w:szCs w:val="18"/>
              </w:rPr>
              <w:t>L</w:t>
            </w:r>
            <w:r>
              <w:rPr>
                <w:rFonts w:hint="eastAsia" w:hAnsi="宋体"/>
                <w:sz w:val="18"/>
                <w:szCs w:val="18"/>
              </w:rPr>
              <w:t>、</w:t>
            </w:r>
            <w:r>
              <w:rPr>
                <w:rFonts w:hAnsi="宋体"/>
                <w:sz w:val="18"/>
                <w:szCs w:val="18"/>
              </w:rPr>
              <w:t>R</w:t>
            </w:r>
            <w:r>
              <w:rPr>
                <w:rFonts w:hint="eastAsia" w:hAnsi="宋体"/>
                <w:sz w:val="18"/>
                <w:szCs w:val="18"/>
              </w:rPr>
              <w:t>、</w:t>
            </w:r>
            <w:r>
              <w:rPr>
                <w:rFonts w:hAnsi="宋体"/>
                <w:sz w:val="18"/>
                <w:szCs w:val="18"/>
              </w:rPr>
              <w:t>C</w:t>
            </w:r>
            <w:r>
              <w:rPr>
                <w:rFonts w:hint="eastAsia" w:hAnsi="宋体"/>
                <w:sz w:val="18"/>
                <w:szCs w:val="18"/>
              </w:rPr>
              <w:t>、</w:t>
            </w:r>
            <w:r>
              <w:rPr>
                <w:rFonts w:hAnsi="宋体"/>
                <w:sz w:val="18"/>
                <w:szCs w:val="18"/>
              </w:rPr>
              <w:t>LFE</w:t>
            </w:r>
            <w:r>
              <w:rPr>
                <w:rFonts w:hint="eastAsia" w:hAnsi="宋体"/>
                <w:sz w:val="18"/>
                <w:szCs w:val="18"/>
              </w:rPr>
              <w:t>、</w:t>
            </w:r>
            <w:r>
              <w:rPr>
                <w:rFonts w:hAnsi="宋体"/>
                <w:sz w:val="18"/>
                <w:szCs w:val="18"/>
              </w:rPr>
              <w:t>Lss</w:t>
            </w:r>
            <w:r>
              <w:rPr>
                <w:rFonts w:hint="eastAsia" w:hAnsi="宋体"/>
                <w:sz w:val="18"/>
                <w:szCs w:val="18"/>
              </w:rPr>
              <w:t>、</w:t>
            </w:r>
            <w:r>
              <w:rPr>
                <w:rFonts w:hAnsi="宋体"/>
                <w:sz w:val="18"/>
                <w:szCs w:val="18"/>
              </w:rPr>
              <w:t>Rss</w:t>
            </w:r>
            <w:r>
              <w:rPr>
                <w:rFonts w:hint="eastAsia" w:hAnsi="宋体"/>
                <w:sz w:val="18"/>
                <w:szCs w:val="18"/>
              </w:rPr>
              <w:t>、</w:t>
            </w:r>
          </w:p>
          <w:p w14:paraId="487E4DD3">
            <w:pPr>
              <w:pStyle w:val="135"/>
              <w:numPr>
                <w:ilvl w:val="0"/>
                <w:numId w:val="0"/>
              </w:numPr>
              <w:ind w:left="470" w:leftChars="21" w:right="105" w:rightChars="50" w:hanging="426"/>
              <w:rPr>
                <w:rFonts w:hint="eastAsia" w:hAnsi="宋体"/>
                <w:sz w:val="18"/>
                <w:szCs w:val="18"/>
              </w:rPr>
            </w:pPr>
            <w:r>
              <w:rPr>
                <w:rFonts w:hAnsi="宋体"/>
                <w:sz w:val="18"/>
                <w:szCs w:val="18"/>
              </w:rPr>
              <w:t>Lrs</w:t>
            </w:r>
            <w:r>
              <w:rPr>
                <w:rFonts w:hint="eastAsia" w:hAnsi="宋体"/>
                <w:sz w:val="18"/>
                <w:szCs w:val="18"/>
              </w:rPr>
              <w:t>、</w:t>
            </w:r>
            <w:r>
              <w:rPr>
                <w:rFonts w:hAnsi="宋体"/>
                <w:sz w:val="18"/>
                <w:szCs w:val="18"/>
              </w:rPr>
              <w:t>Rrs</w:t>
            </w:r>
            <w:r>
              <w:rPr>
                <w:rFonts w:hint="eastAsia" w:hAnsi="宋体"/>
                <w:sz w:val="18"/>
                <w:szCs w:val="18"/>
              </w:rPr>
              <w:t>、Lts、R</w:t>
            </w:r>
            <w:r>
              <w:rPr>
                <w:rFonts w:hAnsi="宋体"/>
                <w:sz w:val="18"/>
                <w:szCs w:val="18"/>
              </w:rPr>
              <w:t>t</w:t>
            </w:r>
            <w:r>
              <w:rPr>
                <w:rFonts w:hint="eastAsia" w:hAnsi="宋体"/>
                <w:sz w:val="18"/>
                <w:szCs w:val="18"/>
              </w:rPr>
              <w:t>s</w:t>
            </w:r>
            <w:bookmarkEnd w:id="91"/>
          </w:p>
        </w:tc>
      </w:tr>
      <w:tr w14:paraId="2A6C7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323FF341">
            <w:pPr>
              <w:pStyle w:val="181"/>
            </w:pPr>
          </w:p>
        </w:tc>
        <w:tc>
          <w:tcPr>
            <w:tcW w:w="1843" w:type="dxa"/>
            <w:vMerge w:val="continue"/>
            <w:vAlign w:val="center"/>
          </w:tcPr>
          <w:p w14:paraId="5A63DFA6">
            <w:pPr>
              <w:pStyle w:val="181"/>
            </w:pPr>
          </w:p>
        </w:tc>
        <w:tc>
          <w:tcPr>
            <w:tcW w:w="6650" w:type="dxa"/>
            <w:vAlign w:val="center"/>
          </w:tcPr>
          <w:p w14:paraId="4487D7BE">
            <w:pPr>
              <w:pStyle w:val="135"/>
              <w:numPr>
                <w:ilvl w:val="0"/>
                <w:numId w:val="0"/>
              </w:numPr>
              <w:ind w:left="470" w:leftChars="21" w:right="105" w:rightChars="50" w:hanging="426"/>
              <w:rPr>
                <w:rFonts w:hint="eastAsia" w:hAnsi="宋体"/>
                <w:sz w:val="18"/>
                <w:szCs w:val="18"/>
              </w:rPr>
            </w:pPr>
            <w:r>
              <w:rPr>
                <w:rFonts w:hint="eastAsia" w:hAnsi="宋体"/>
                <w:sz w:val="18"/>
                <w:szCs w:val="18"/>
              </w:rPr>
              <w:t>应支持基于对象元数据位置、增益的渲染</w:t>
            </w:r>
          </w:p>
        </w:tc>
      </w:tr>
      <w:tr w14:paraId="57E20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1E4C371D">
            <w:pPr>
              <w:pStyle w:val="181"/>
            </w:pPr>
          </w:p>
        </w:tc>
        <w:tc>
          <w:tcPr>
            <w:tcW w:w="1843" w:type="dxa"/>
            <w:vMerge w:val="continue"/>
            <w:vAlign w:val="center"/>
          </w:tcPr>
          <w:p w14:paraId="6CEB0D4D">
            <w:pPr>
              <w:pStyle w:val="181"/>
            </w:pPr>
          </w:p>
        </w:tc>
        <w:tc>
          <w:tcPr>
            <w:tcW w:w="6650" w:type="dxa"/>
            <w:vAlign w:val="center"/>
          </w:tcPr>
          <w:p w14:paraId="106A44E7">
            <w:pPr>
              <w:pStyle w:val="135"/>
              <w:numPr>
                <w:ilvl w:val="0"/>
                <w:numId w:val="0"/>
              </w:numPr>
              <w:ind w:left="470" w:leftChars="21" w:right="105" w:rightChars="50" w:hanging="426"/>
              <w:rPr>
                <w:rFonts w:hint="eastAsia" w:hAnsi="宋体"/>
                <w:sz w:val="18"/>
                <w:szCs w:val="18"/>
              </w:rPr>
            </w:pPr>
            <w:r>
              <w:rPr>
                <w:rFonts w:hint="eastAsia" w:hAnsi="宋体"/>
                <w:sz w:val="18"/>
                <w:szCs w:val="18"/>
              </w:rPr>
              <w:t>应至少支持118个对象轨道的渲染</w:t>
            </w:r>
          </w:p>
        </w:tc>
      </w:tr>
      <w:tr w14:paraId="3D18E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14C7C76F">
            <w:pPr>
              <w:pStyle w:val="181"/>
            </w:pPr>
          </w:p>
        </w:tc>
        <w:tc>
          <w:tcPr>
            <w:tcW w:w="1843" w:type="dxa"/>
            <w:vMerge w:val="continue"/>
            <w:vAlign w:val="center"/>
          </w:tcPr>
          <w:p w14:paraId="4F3ABBEC">
            <w:pPr>
              <w:pStyle w:val="181"/>
            </w:pPr>
          </w:p>
        </w:tc>
        <w:tc>
          <w:tcPr>
            <w:tcW w:w="6650" w:type="dxa"/>
            <w:vAlign w:val="center"/>
          </w:tcPr>
          <w:p w14:paraId="1B483B55">
            <w:pPr>
              <w:pStyle w:val="135"/>
              <w:numPr>
                <w:ilvl w:val="0"/>
                <w:numId w:val="0"/>
              </w:numPr>
              <w:ind w:left="470" w:leftChars="21" w:right="105" w:rightChars="50" w:hanging="426"/>
              <w:rPr>
                <w:rFonts w:hint="eastAsia" w:hAnsi="宋体"/>
                <w:sz w:val="18"/>
                <w:szCs w:val="18"/>
              </w:rPr>
            </w:pPr>
            <w:r>
              <w:rPr>
                <w:rFonts w:hint="eastAsia" w:hAnsi="宋体"/>
                <w:sz w:val="18"/>
                <w:szCs w:val="18"/>
              </w:rPr>
              <w:t>应至少支持32个音频通路的渲染输出</w:t>
            </w:r>
          </w:p>
        </w:tc>
      </w:tr>
      <w:tr w14:paraId="7D0EE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restart"/>
            <w:vAlign w:val="center"/>
          </w:tcPr>
          <w:p w14:paraId="7ED2F101">
            <w:pPr>
              <w:pStyle w:val="181"/>
            </w:pPr>
            <w:r>
              <w:rPr>
                <w:rFonts w:hint="eastAsia"/>
              </w:rPr>
              <w:t>6</w:t>
            </w:r>
          </w:p>
        </w:tc>
        <w:tc>
          <w:tcPr>
            <w:tcW w:w="1843" w:type="dxa"/>
            <w:vMerge w:val="restart"/>
            <w:vAlign w:val="center"/>
          </w:tcPr>
          <w:p w14:paraId="7D749CA2">
            <w:pPr>
              <w:pStyle w:val="181"/>
            </w:pPr>
            <w:r>
              <w:rPr>
                <w:rFonts w:hint="eastAsia"/>
              </w:rPr>
              <w:t>调节</w:t>
            </w:r>
          </w:p>
        </w:tc>
        <w:tc>
          <w:tcPr>
            <w:tcW w:w="6650" w:type="dxa"/>
            <w:vAlign w:val="center"/>
          </w:tcPr>
          <w:p w14:paraId="7DA9FAFE">
            <w:pPr>
              <w:pStyle w:val="135"/>
              <w:numPr>
                <w:ilvl w:val="0"/>
                <w:numId w:val="0"/>
              </w:numPr>
              <w:ind w:left="470" w:leftChars="21" w:right="105" w:rightChars="50" w:hanging="426"/>
              <w:rPr>
                <w:rFonts w:hint="eastAsia" w:hAnsi="宋体"/>
                <w:sz w:val="18"/>
                <w:szCs w:val="18"/>
              </w:rPr>
            </w:pPr>
            <w:r>
              <w:rPr>
                <w:rFonts w:hint="eastAsia" w:hAnsi="宋体"/>
                <w:sz w:val="18"/>
                <w:szCs w:val="18"/>
              </w:rPr>
              <w:t>各渲染输出通道应</w:t>
            </w:r>
            <w:r>
              <w:rPr>
                <w:rFonts w:hAnsi="宋体"/>
                <w:sz w:val="18"/>
                <w:szCs w:val="18"/>
              </w:rPr>
              <w:t>具备独立的增益</w:t>
            </w:r>
            <w:r>
              <w:rPr>
                <w:rFonts w:hint="eastAsia" w:hAnsi="宋体"/>
                <w:sz w:val="18"/>
                <w:szCs w:val="18"/>
              </w:rPr>
              <w:t>调节</w:t>
            </w:r>
          </w:p>
        </w:tc>
      </w:tr>
      <w:tr w14:paraId="363F8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3F527139">
            <w:pPr>
              <w:pStyle w:val="181"/>
            </w:pPr>
          </w:p>
        </w:tc>
        <w:tc>
          <w:tcPr>
            <w:tcW w:w="1843" w:type="dxa"/>
            <w:vMerge w:val="continue"/>
            <w:vAlign w:val="center"/>
          </w:tcPr>
          <w:p w14:paraId="58CE6A34">
            <w:pPr>
              <w:pStyle w:val="181"/>
            </w:pPr>
          </w:p>
        </w:tc>
        <w:tc>
          <w:tcPr>
            <w:tcW w:w="6650" w:type="dxa"/>
            <w:vAlign w:val="center"/>
          </w:tcPr>
          <w:p w14:paraId="01CD2636">
            <w:pPr>
              <w:pStyle w:val="135"/>
              <w:numPr>
                <w:ilvl w:val="0"/>
                <w:numId w:val="0"/>
              </w:numPr>
              <w:ind w:left="470" w:leftChars="21" w:right="105" w:rightChars="50" w:hanging="426"/>
              <w:rPr>
                <w:rFonts w:hint="eastAsia" w:hAnsi="宋体"/>
                <w:sz w:val="18"/>
                <w:szCs w:val="18"/>
              </w:rPr>
            </w:pPr>
            <w:r>
              <w:rPr>
                <w:rFonts w:hint="eastAsia" w:hAnsi="宋体"/>
                <w:sz w:val="18"/>
                <w:szCs w:val="18"/>
              </w:rPr>
              <w:t>各渲染输出通道应</w:t>
            </w:r>
            <w:r>
              <w:rPr>
                <w:rFonts w:hAnsi="宋体"/>
                <w:sz w:val="18"/>
                <w:szCs w:val="18"/>
              </w:rPr>
              <w:t>具备</w:t>
            </w:r>
            <w:r>
              <w:rPr>
                <w:rFonts w:hint="eastAsia" w:hAnsi="宋体"/>
                <w:sz w:val="18"/>
                <w:szCs w:val="18"/>
              </w:rPr>
              <w:t>1/3倍频程均衡调节</w:t>
            </w:r>
          </w:p>
        </w:tc>
      </w:tr>
      <w:tr w14:paraId="42794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vAlign w:val="center"/>
          </w:tcPr>
          <w:p w14:paraId="3E181F77">
            <w:pPr>
              <w:pStyle w:val="181"/>
            </w:pPr>
          </w:p>
        </w:tc>
        <w:tc>
          <w:tcPr>
            <w:tcW w:w="1843" w:type="dxa"/>
            <w:vMerge w:val="continue"/>
            <w:vAlign w:val="center"/>
          </w:tcPr>
          <w:p w14:paraId="3E7BFAD6">
            <w:pPr>
              <w:pStyle w:val="181"/>
            </w:pPr>
          </w:p>
        </w:tc>
        <w:tc>
          <w:tcPr>
            <w:tcW w:w="6650" w:type="dxa"/>
            <w:vAlign w:val="center"/>
          </w:tcPr>
          <w:p w14:paraId="3552BF15">
            <w:pPr>
              <w:pStyle w:val="135"/>
              <w:numPr>
                <w:ilvl w:val="0"/>
                <w:numId w:val="0"/>
              </w:numPr>
              <w:ind w:left="470" w:leftChars="21" w:right="105" w:rightChars="50" w:hanging="426"/>
              <w:rPr>
                <w:rFonts w:hint="eastAsia" w:hAnsi="宋体"/>
                <w:sz w:val="18"/>
                <w:szCs w:val="18"/>
              </w:rPr>
            </w:pPr>
            <w:r>
              <w:rPr>
                <w:rFonts w:hint="eastAsia" w:hAnsi="宋体"/>
                <w:sz w:val="18"/>
                <w:szCs w:val="18"/>
              </w:rPr>
              <w:t>声床通道应具备独立的延时调节</w:t>
            </w:r>
          </w:p>
        </w:tc>
      </w:tr>
    </w:tbl>
    <w:p w14:paraId="426DADAD">
      <w:pPr>
        <w:pStyle w:val="108"/>
        <w:spacing w:before="156" w:after="156"/>
      </w:pPr>
      <w:bookmarkStart w:id="92" w:name="_Toc203577733"/>
      <w:r>
        <w:rPr>
          <w:rFonts w:hint="eastAsia"/>
        </w:rPr>
        <w:t>音频通路（数字输入/模拟输出）</w:t>
      </w:r>
      <w:bookmarkEnd w:id="92"/>
    </w:p>
    <w:p w14:paraId="04AC9B92">
      <w:pPr>
        <w:pStyle w:val="59"/>
        <w:ind w:firstLine="420"/>
      </w:pPr>
      <w:r>
        <w:rPr>
          <w:rFonts w:hint="eastAsia"/>
        </w:rPr>
        <w:t>数字影院沉浸式音频处理器各输出音频通路（数字输入/模拟输出）技术要求应符合表2的规定。</w:t>
      </w:r>
    </w:p>
    <w:p w14:paraId="6CD8DBB8">
      <w:pPr>
        <w:pStyle w:val="115"/>
        <w:spacing w:before="156" w:after="156"/>
        <w:ind w:left="0"/>
      </w:pPr>
      <w:bookmarkStart w:id="93" w:name="OLE_LINK1"/>
      <w:r>
        <w:rPr>
          <w:rFonts w:hint="eastAsia"/>
        </w:rPr>
        <w:t>沉浸式音频处理器音频各输出通路技术要求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2693"/>
        <w:gridCol w:w="5658"/>
      </w:tblGrid>
      <w:tr w14:paraId="7EA57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vAlign w:val="center"/>
          </w:tcPr>
          <w:p w14:paraId="56721E13">
            <w:pPr>
              <w:pStyle w:val="181"/>
            </w:pPr>
            <w:r>
              <w:rPr>
                <w:rFonts w:hint="eastAsia"/>
              </w:rPr>
              <w:t>序号</w:t>
            </w:r>
          </w:p>
        </w:tc>
        <w:tc>
          <w:tcPr>
            <w:tcW w:w="2693" w:type="dxa"/>
            <w:tcBorders>
              <w:top w:val="single" w:color="auto" w:sz="8" w:space="0"/>
              <w:bottom w:val="single" w:color="auto" w:sz="8" w:space="0"/>
            </w:tcBorders>
            <w:vAlign w:val="center"/>
          </w:tcPr>
          <w:p w14:paraId="72F89F08">
            <w:pPr>
              <w:pStyle w:val="181"/>
            </w:pPr>
            <w:r>
              <w:rPr>
                <w:rFonts w:hint="eastAsia"/>
              </w:rPr>
              <w:t>参数</w:t>
            </w:r>
          </w:p>
        </w:tc>
        <w:tc>
          <w:tcPr>
            <w:tcW w:w="5658" w:type="dxa"/>
            <w:tcBorders>
              <w:top w:val="single" w:color="auto" w:sz="8" w:space="0"/>
              <w:bottom w:val="single" w:color="auto" w:sz="8" w:space="0"/>
            </w:tcBorders>
            <w:vAlign w:val="center"/>
          </w:tcPr>
          <w:p w14:paraId="46F9F7D5">
            <w:pPr>
              <w:pStyle w:val="181"/>
            </w:pPr>
            <w:r>
              <w:rPr>
                <w:rFonts w:hint="eastAsia"/>
              </w:rPr>
              <w:t>技术要求</w:t>
            </w:r>
          </w:p>
        </w:tc>
      </w:tr>
      <w:tr w14:paraId="7187E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vAlign w:val="center"/>
          </w:tcPr>
          <w:p w14:paraId="2E06B816">
            <w:pPr>
              <w:pStyle w:val="181"/>
            </w:pPr>
            <w:r>
              <w:rPr>
                <w:rFonts w:hint="eastAsia"/>
              </w:rPr>
              <w:t>1</w:t>
            </w:r>
          </w:p>
        </w:tc>
        <w:tc>
          <w:tcPr>
            <w:tcW w:w="2693" w:type="dxa"/>
            <w:tcBorders>
              <w:top w:val="single" w:color="auto" w:sz="8" w:space="0"/>
            </w:tcBorders>
            <w:vAlign w:val="center"/>
          </w:tcPr>
          <w:p w14:paraId="52D0F2BE">
            <w:pPr>
              <w:pStyle w:val="181"/>
            </w:pPr>
            <w:r>
              <w:rPr>
                <w:rFonts w:hint="eastAsia" w:hAnsi="宋体"/>
                <w:szCs w:val="18"/>
              </w:rPr>
              <w:t>最大输出电平</w:t>
            </w:r>
          </w:p>
        </w:tc>
        <w:tc>
          <w:tcPr>
            <w:tcW w:w="5658" w:type="dxa"/>
            <w:tcBorders>
              <w:top w:val="single" w:color="auto" w:sz="8" w:space="0"/>
            </w:tcBorders>
            <w:vAlign w:val="center"/>
          </w:tcPr>
          <w:p w14:paraId="34FD3931">
            <w:pPr>
              <w:pStyle w:val="181"/>
            </w:pPr>
            <w:r>
              <w:rPr>
                <w:rFonts w:hint="eastAsia" w:hAnsi="宋体"/>
                <w:szCs w:val="18"/>
              </w:rPr>
              <w:t>≥2</w:t>
            </w:r>
            <w:r>
              <w:rPr>
                <w:rFonts w:hAnsi="宋体"/>
                <w:szCs w:val="18"/>
              </w:rPr>
              <w:t xml:space="preserve">4 </w:t>
            </w:r>
            <w:r>
              <w:rPr>
                <w:rFonts w:hint="eastAsia" w:hAnsi="宋体"/>
                <w:szCs w:val="18"/>
              </w:rPr>
              <w:t>dBu（997</w:t>
            </w:r>
            <w:r>
              <w:rPr>
                <w:rFonts w:hAnsi="宋体"/>
                <w:szCs w:val="18"/>
              </w:rPr>
              <w:t xml:space="preserve"> </w:t>
            </w:r>
            <w:r>
              <w:rPr>
                <w:rFonts w:hint="eastAsia" w:hAnsi="宋体"/>
                <w:szCs w:val="18"/>
              </w:rPr>
              <w:t>Hz）</w:t>
            </w:r>
          </w:p>
        </w:tc>
      </w:tr>
      <w:tr w14:paraId="45D9C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05013AC1">
            <w:pPr>
              <w:pStyle w:val="181"/>
            </w:pPr>
            <w:r>
              <w:rPr>
                <w:rFonts w:hint="eastAsia"/>
              </w:rPr>
              <w:t>2</w:t>
            </w:r>
          </w:p>
        </w:tc>
        <w:tc>
          <w:tcPr>
            <w:tcW w:w="2693" w:type="dxa"/>
            <w:vAlign w:val="center"/>
          </w:tcPr>
          <w:p w14:paraId="1B37B9FC">
            <w:pPr>
              <w:pStyle w:val="181"/>
            </w:pPr>
            <w:r>
              <w:rPr>
                <w:rFonts w:hint="eastAsia" w:hAnsi="宋体"/>
                <w:szCs w:val="18"/>
              </w:rPr>
              <w:t>通道间增益差</w:t>
            </w:r>
          </w:p>
        </w:tc>
        <w:tc>
          <w:tcPr>
            <w:tcW w:w="5658" w:type="dxa"/>
            <w:vAlign w:val="center"/>
          </w:tcPr>
          <w:p w14:paraId="43E6B10B">
            <w:pPr>
              <w:spacing w:line="240" w:lineRule="auto"/>
              <w:ind w:left="105" w:leftChars="50" w:right="105" w:rightChars="50"/>
              <w:jc w:val="center"/>
              <w:rPr>
                <w:rFonts w:hint="eastAsia" w:ascii="宋体" w:hAnsi="宋体"/>
                <w:sz w:val="18"/>
                <w:szCs w:val="18"/>
              </w:rPr>
            </w:pPr>
            <w:r>
              <w:rPr>
                <w:rFonts w:hint="eastAsia" w:ascii="宋体" w:hAnsi="宋体"/>
                <w:sz w:val="18"/>
                <w:szCs w:val="18"/>
              </w:rPr>
              <w:t>±0.3</w:t>
            </w:r>
            <w:r>
              <w:rPr>
                <w:rFonts w:ascii="宋体" w:hAnsi="宋体"/>
                <w:sz w:val="18"/>
                <w:szCs w:val="18"/>
              </w:rPr>
              <w:t xml:space="preserve"> </w:t>
            </w:r>
            <w:r>
              <w:rPr>
                <w:rFonts w:hint="eastAsia" w:ascii="宋体" w:hAnsi="宋体"/>
                <w:sz w:val="18"/>
                <w:szCs w:val="18"/>
              </w:rPr>
              <w:t>dB内</w:t>
            </w:r>
          </w:p>
          <w:p w14:paraId="0422CB31">
            <w:pPr>
              <w:pStyle w:val="181"/>
            </w:pPr>
            <w:r>
              <w:rPr>
                <w:rFonts w:hint="eastAsia" w:hAnsi="宋体"/>
                <w:szCs w:val="18"/>
              </w:rPr>
              <w:t>（20</w:t>
            </w:r>
            <w:r>
              <w:rPr>
                <w:rFonts w:hAnsi="宋体"/>
                <w:szCs w:val="18"/>
              </w:rPr>
              <w:t xml:space="preserve"> </w:t>
            </w:r>
            <w:r>
              <w:rPr>
                <w:rFonts w:hint="eastAsia" w:hAnsi="宋体"/>
                <w:szCs w:val="18"/>
              </w:rPr>
              <w:t>Hz～20</w:t>
            </w:r>
            <w:r>
              <w:rPr>
                <w:rFonts w:hAnsi="宋体"/>
                <w:szCs w:val="18"/>
              </w:rPr>
              <w:t xml:space="preserve"> k</w:t>
            </w:r>
            <w:r>
              <w:rPr>
                <w:rFonts w:hint="eastAsia" w:hAnsi="宋体"/>
                <w:szCs w:val="18"/>
              </w:rPr>
              <w:t>Hz）</w:t>
            </w:r>
          </w:p>
        </w:tc>
      </w:tr>
      <w:tr w14:paraId="390C6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4DFE454D">
            <w:pPr>
              <w:pStyle w:val="181"/>
            </w:pPr>
            <w:r>
              <w:rPr>
                <w:rFonts w:hint="eastAsia"/>
              </w:rPr>
              <w:t>3</w:t>
            </w:r>
          </w:p>
        </w:tc>
        <w:tc>
          <w:tcPr>
            <w:tcW w:w="2693" w:type="dxa"/>
            <w:vAlign w:val="center"/>
          </w:tcPr>
          <w:p w14:paraId="2EB58752">
            <w:pPr>
              <w:pStyle w:val="181"/>
            </w:pPr>
            <w:r>
              <w:rPr>
                <w:rFonts w:hint="eastAsia" w:hAnsi="宋体"/>
                <w:szCs w:val="18"/>
              </w:rPr>
              <w:t>幅频响应</w:t>
            </w:r>
          </w:p>
        </w:tc>
        <w:tc>
          <w:tcPr>
            <w:tcW w:w="5658" w:type="dxa"/>
            <w:vAlign w:val="center"/>
          </w:tcPr>
          <w:p w14:paraId="0515214B">
            <w:pPr>
              <w:spacing w:line="240" w:lineRule="auto"/>
              <w:ind w:left="105" w:leftChars="50" w:right="105" w:rightChars="50"/>
              <w:jc w:val="center"/>
              <w:rPr>
                <w:rFonts w:hint="eastAsia" w:ascii="宋体" w:hAnsi="宋体"/>
                <w:sz w:val="18"/>
                <w:szCs w:val="18"/>
              </w:rPr>
            </w:pPr>
            <w:r>
              <w:rPr>
                <w:rFonts w:hint="eastAsia" w:ascii="宋体" w:hAnsi="宋体"/>
                <w:sz w:val="18"/>
                <w:szCs w:val="18"/>
              </w:rPr>
              <w:t>±0.</w:t>
            </w:r>
            <w:r>
              <w:rPr>
                <w:rFonts w:ascii="宋体" w:hAnsi="宋体"/>
                <w:sz w:val="18"/>
                <w:szCs w:val="18"/>
              </w:rPr>
              <w:t xml:space="preserve">5 </w:t>
            </w:r>
            <w:r>
              <w:rPr>
                <w:rFonts w:hint="eastAsia" w:ascii="宋体" w:hAnsi="宋体"/>
                <w:sz w:val="18"/>
                <w:szCs w:val="18"/>
              </w:rPr>
              <w:t>dB内</w:t>
            </w:r>
          </w:p>
          <w:p w14:paraId="16AAFF2F">
            <w:pPr>
              <w:pStyle w:val="181"/>
            </w:pPr>
            <w:r>
              <w:rPr>
                <w:rFonts w:hint="eastAsia" w:hAnsi="宋体"/>
                <w:szCs w:val="18"/>
              </w:rPr>
              <w:t>（20</w:t>
            </w:r>
            <w:r>
              <w:rPr>
                <w:rFonts w:hAnsi="宋体"/>
                <w:szCs w:val="18"/>
              </w:rPr>
              <w:t xml:space="preserve"> </w:t>
            </w:r>
            <w:r>
              <w:rPr>
                <w:rFonts w:hint="eastAsia" w:hAnsi="宋体"/>
                <w:szCs w:val="18"/>
              </w:rPr>
              <w:t>Hz～20</w:t>
            </w:r>
            <w:r>
              <w:rPr>
                <w:rFonts w:hAnsi="宋体"/>
                <w:szCs w:val="18"/>
              </w:rPr>
              <w:t xml:space="preserve"> </w:t>
            </w:r>
            <w:r>
              <w:rPr>
                <w:rFonts w:hint="eastAsia" w:hAnsi="宋体"/>
                <w:szCs w:val="18"/>
              </w:rPr>
              <w:t>kHz，参考频率：</w:t>
            </w:r>
            <w:r>
              <w:rPr>
                <w:rFonts w:hAnsi="宋体"/>
                <w:szCs w:val="18"/>
              </w:rPr>
              <w:t xml:space="preserve">997 </w:t>
            </w:r>
            <w:r>
              <w:rPr>
                <w:rFonts w:hint="eastAsia" w:hAnsi="宋体"/>
                <w:szCs w:val="18"/>
              </w:rPr>
              <w:t>Hz）</w:t>
            </w:r>
          </w:p>
        </w:tc>
      </w:tr>
      <w:tr w14:paraId="51FEC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2BA828A7">
            <w:pPr>
              <w:pStyle w:val="181"/>
            </w:pPr>
            <w:r>
              <w:rPr>
                <w:rFonts w:hint="eastAsia"/>
              </w:rPr>
              <w:t>4</w:t>
            </w:r>
          </w:p>
        </w:tc>
        <w:tc>
          <w:tcPr>
            <w:tcW w:w="2693" w:type="dxa"/>
            <w:vAlign w:val="center"/>
          </w:tcPr>
          <w:p w14:paraId="6D2C6775">
            <w:pPr>
              <w:pStyle w:val="181"/>
            </w:pPr>
            <w:r>
              <w:rPr>
                <w:rFonts w:hint="eastAsia" w:hAnsi="宋体"/>
                <w:szCs w:val="18"/>
              </w:rPr>
              <w:t>信噪比</w:t>
            </w:r>
          </w:p>
        </w:tc>
        <w:tc>
          <w:tcPr>
            <w:tcW w:w="5658" w:type="dxa"/>
            <w:vAlign w:val="center"/>
          </w:tcPr>
          <w:p w14:paraId="5B89D6B5">
            <w:pPr>
              <w:pStyle w:val="181"/>
            </w:pPr>
            <w:r>
              <w:rPr>
                <w:rFonts w:hint="eastAsia" w:hAnsi="宋体"/>
                <w:szCs w:val="18"/>
              </w:rPr>
              <w:t>≥</w:t>
            </w:r>
            <w:r>
              <w:rPr>
                <w:rFonts w:hAnsi="宋体"/>
                <w:szCs w:val="18"/>
              </w:rPr>
              <w:t xml:space="preserve">90 </w:t>
            </w:r>
            <w:r>
              <w:rPr>
                <w:rFonts w:hint="eastAsia" w:hAnsi="宋体"/>
                <w:szCs w:val="18"/>
              </w:rPr>
              <w:t>dB（997</w:t>
            </w:r>
            <w:r>
              <w:rPr>
                <w:rFonts w:hAnsi="宋体"/>
                <w:szCs w:val="18"/>
              </w:rPr>
              <w:t xml:space="preserve"> </w:t>
            </w:r>
            <w:r>
              <w:rPr>
                <w:rFonts w:hint="eastAsia" w:hAnsi="宋体"/>
                <w:szCs w:val="18"/>
              </w:rPr>
              <w:t>Hz）</w:t>
            </w:r>
          </w:p>
        </w:tc>
      </w:tr>
      <w:tr w14:paraId="127A5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36AA734D">
            <w:pPr>
              <w:pStyle w:val="181"/>
            </w:pPr>
            <w:r>
              <w:rPr>
                <w:rFonts w:hint="eastAsia"/>
              </w:rPr>
              <w:t>5</w:t>
            </w:r>
          </w:p>
        </w:tc>
        <w:tc>
          <w:tcPr>
            <w:tcW w:w="2693" w:type="dxa"/>
            <w:vAlign w:val="center"/>
          </w:tcPr>
          <w:p w14:paraId="441627AA">
            <w:pPr>
              <w:pStyle w:val="181"/>
            </w:pPr>
            <w:r>
              <w:rPr>
                <w:rFonts w:hint="eastAsia" w:hAnsi="宋体"/>
                <w:szCs w:val="18"/>
              </w:rPr>
              <w:t>动态范围</w:t>
            </w:r>
          </w:p>
        </w:tc>
        <w:tc>
          <w:tcPr>
            <w:tcW w:w="5658" w:type="dxa"/>
            <w:vAlign w:val="center"/>
          </w:tcPr>
          <w:p w14:paraId="20FC84AB">
            <w:pPr>
              <w:pStyle w:val="181"/>
            </w:pPr>
            <w:r>
              <w:rPr>
                <w:rFonts w:hint="eastAsia" w:hAnsi="宋体"/>
                <w:szCs w:val="18"/>
              </w:rPr>
              <w:t>≥10</w:t>
            </w:r>
            <w:r>
              <w:rPr>
                <w:rFonts w:hAnsi="宋体"/>
                <w:szCs w:val="18"/>
              </w:rPr>
              <w:t xml:space="preserve">5 </w:t>
            </w:r>
            <w:r>
              <w:rPr>
                <w:rFonts w:hint="eastAsia" w:hAnsi="宋体"/>
                <w:szCs w:val="18"/>
              </w:rPr>
              <w:t>dB（997</w:t>
            </w:r>
            <w:r>
              <w:rPr>
                <w:rFonts w:hAnsi="宋体"/>
                <w:szCs w:val="18"/>
              </w:rPr>
              <w:t xml:space="preserve"> </w:t>
            </w:r>
            <w:r>
              <w:rPr>
                <w:rFonts w:hint="eastAsia" w:hAnsi="宋体"/>
                <w:szCs w:val="18"/>
              </w:rPr>
              <w:t>Hz）</w:t>
            </w:r>
          </w:p>
        </w:tc>
      </w:tr>
      <w:tr w14:paraId="21718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7AF96925">
            <w:pPr>
              <w:pStyle w:val="181"/>
            </w:pPr>
            <w:r>
              <w:rPr>
                <w:rFonts w:hint="eastAsia"/>
              </w:rPr>
              <w:t>6</w:t>
            </w:r>
          </w:p>
        </w:tc>
        <w:tc>
          <w:tcPr>
            <w:tcW w:w="2693" w:type="dxa"/>
            <w:vAlign w:val="center"/>
          </w:tcPr>
          <w:p w14:paraId="4D439D03">
            <w:pPr>
              <w:spacing w:line="240" w:lineRule="auto"/>
              <w:ind w:left="105" w:leftChars="50" w:right="105" w:rightChars="50"/>
              <w:jc w:val="center"/>
              <w:rPr>
                <w:rFonts w:hint="eastAsia" w:ascii="宋体" w:hAnsi="宋体"/>
                <w:sz w:val="18"/>
                <w:szCs w:val="18"/>
              </w:rPr>
            </w:pPr>
            <w:r>
              <w:rPr>
                <w:rFonts w:hint="eastAsia" w:ascii="宋体" w:hAnsi="宋体"/>
                <w:sz w:val="18"/>
                <w:szCs w:val="18"/>
              </w:rPr>
              <w:t>相邻通道间串音衰减</w:t>
            </w:r>
          </w:p>
        </w:tc>
        <w:tc>
          <w:tcPr>
            <w:tcW w:w="5658" w:type="dxa"/>
            <w:vAlign w:val="center"/>
          </w:tcPr>
          <w:p w14:paraId="35EB5D93">
            <w:pPr>
              <w:pStyle w:val="181"/>
              <w:rPr>
                <w:rFonts w:hint="eastAsia" w:hAnsi="宋体"/>
                <w:szCs w:val="18"/>
              </w:rPr>
            </w:pPr>
            <w:r>
              <w:rPr>
                <w:rFonts w:hint="eastAsia" w:hAnsi="宋体"/>
                <w:szCs w:val="18"/>
              </w:rPr>
              <w:t>≥</w:t>
            </w:r>
            <w:r>
              <w:rPr>
                <w:rFonts w:hAnsi="宋体"/>
                <w:szCs w:val="18"/>
              </w:rPr>
              <w:t xml:space="preserve">95 </w:t>
            </w:r>
            <w:r>
              <w:rPr>
                <w:rFonts w:hint="eastAsia" w:hAnsi="宋体"/>
                <w:szCs w:val="18"/>
              </w:rPr>
              <w:t>dB（</w:t>
            </w:r>
            <w:r>
              <w:rPr>
                <w:rFonts w:hAnsi="宋体"/>
                <w:szCs w:val="18"/>
              </w:rPr>
              <w:t xml:space="preserve">997 </w:t>
            </w:r>
            <w:r>
              <w:rPr>
                <w:rFonts w:hint="eastAsia" w:hAnsi="宋体"/>
                <w:szCs w:val="18"/>
              </w:rPr>
              <w:t>Hz），≥8</w:t>
            </w:r>
            <w:r>
              <w:rPr>
                <w:rFonts w:hAnsi="宋体"/>
                <w:szCs w:val="18"/>
              </w:rPr>
              <w:t xml:space="preserve">0 </w:t>
            </w:r>
            <w:r>
              <w:rPr>
                <w:rFonts w:hint="eastAsia" w:hAnsi="宋体"/>
                <w:szCs w:val="18"/>
              </w:rPr>
              <w:t>dB（20</w:t>
            </w:r>
            <w:r>
              <w:rPr>
                <w:rFonts w:hAnsi="宋体"/>
                <w:szCs w:val="18"/>
              </w:rPr>
              <w:t xml:space="preserve"> </w:t>
            </w:r>
            <w:r>
              <w:rPr>
                <w:rFonts w:hint="eastAsia" w:hAnsi="宋体"/>
                <w:szCs w:val="18"/>
              </w:rPr>
              <w:t>Hz～20</w:t>
            </w:r>
            <w:r>
              <w:rPr>
                <w:rFonts w:hAnsi="宋体"/>
                <w:szCs w:val="18"/>
              </w:rPr>
              <w:t xml:space="preserve"> k</w:t>
            </w:r>
            <w:r>
              <w:rPr>
                <w:rFonts w:hint="eastAsia" w:hAnsi="宋体"/>
                <w:szCs w:val="18"/>
              </w:rPr>
              <w:t>Hz）</w:t>
            </w:r>
          </w:p>
        </w:tc>
      </w:tr>
      <w:tr w14:paraId="49D7F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1CABEB97">
            <w:pPr>
              <w:pStyle w:val="181"/>
            </w:pPr>
            <w:r>
              <w:rPr>
                <w:rFonts w:hint="eastAsia"/>
              </w:rPr>
              <w:t>7</w:t>
            </w:r>
          </w:p>
        </w:tc>
        <w:tc>
          <w:tcPr>
            <w:tcW w:w="2693" w:type="dxa"/>
            <w:vAlign w:val="center"/>
          </w:tcPr>
          <w:p w14:paraId="0A79CDEF">
            <w:pPr>
              <w:spacing w:line="240" w:lineRule="auto"/>
              <w:ind w:left="105" w:leftChars="50" w:right="105" w:rightChars="50"/>
              <w:jc w:val="center"/>
              <w:rPr>
                <w:rFonts w:hint="eastAsia" w:ascii="宋体" w:hAnsi="宋体"/>
                <w:sz w:val="18"/>
                <w:szCs w:val="18"/>
              </w:rPr>
            </w:pPr>
            <w:r>
              <w:rPr>
                <w:rFonts w:hint="eastAsia" w:ascii="宋体" w:hAnsi="宋体"/>
                <w:sz w:val="18"/>
                <w:szCs w:val="18"/>
              </w:rPr>
              <w:t>总谐波失真加噪声</w:t>
            </w:r>
          </w:p>
        </w:tc>
        <w:tc>
          <w:tcPr>
            <w:tcW w:w="5658" w:type="dxa"/>
            <w:vAlign w:val="center"/>
          </w:tcPr>
          <w:p w14:paraId="7DDE07A3">
            <w:pPr>
              <w:pStyle w:val="181"/>
              <w:rPr>
                <w:rFonts w:hint="eastAsia" w:hAnsi="宋体"/>
                <w:szCs w:val="18"/>
              </w:rPr>
            </w:pPr>
            <w:r>
              <w:rPr>
                <w:rFonts w:hint="eastAsia" w:hAnsi="宋体"/>
                <w:szCs w:val="18"/>
              </w:rPr>
              <w:t>≤0.0</w:t>
            </w:r>
            <w:r>
              <w:rPr>
                <w:rFonts w:hAnsi="宋体"/>
                <w:szCs w:val="18"/>
              </w:rPr>
              <w:t>05</w:t>
            </w:r>
            <w:r>
              <w:rPr>
                <w:rFonts w:hint="eastAsia" w:hAnsi="宋体"/>
                <w:szCs w:val="18"/>
              </w:rPr>
              <w:t>%（</w:t>
            </w:r>
            <w:r>
              <w:rPr>
                <w:rFonts w:hAnsi="宋体"/>
                <w:szCs w:val="18"/>
              </w:rPr>
              <w:t xml:space="preserve">997 </w:t>
            </w:r>
            <w:r>
              <w:rPr>
                <w:rFonts w:hint="eastAsia" w:hAnsi="宋体"/>
                <w:szCs w:val="18"/>
              </w:rPr>
              <w:t>Hz），≤0.01%（20</w:t>
            </w:r>
            <w:r>
              <w:rPr>
                <w:rFonts w:hAnsi="宋体"/>
                <w:szCs w:val="18"/>
              </w:rPr>
              <w:t xml:space="preserve"> </w:t>
            </w:r>
            <w:r>
              <w:rPr>
                <w:rFonts w:hint="eastAsia" w:hAnsi="宋体"/>
                <w:szCs w:val="18"/>
              </w:rPr>
              <w:t>Hz～20</w:t>
            </w:r>
            <w:r>
              <w:rPr>
                <w:rFonts w:hAnsi="宋体"/>
                <w:szCs w:val="18"/>
              </w:rPr>
              <w:t xml:space="preserve"> k</w:t>
            </w:r>
            <w:r>
              <w:rPr>
                <w:rFonts w:hint="eastAsia" w:hAnsi="宋体"/>
                <w:szCs w:val="18"/>
              </w:rPr>
              <w:t>Hz）</w:t>
            </w:r>
          </w:p>
        </w:tc>
      </w:tr>
      <w:tr w14:paraId="285FD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7C8A5C3D">
            <w:pPr>
              <w:pStyle w:val="181"/>
            </w:pPr>
            <w:r>
              <w:rPr>
                <w:rFonts w:hint="eastAsia"/>
              </w:rPr>
              <w:t>8</w:t>
            </w:r>
          </w:p>
        </w:tc>
        <w:tc>
          <w:tcPr>
            <w:tcW w:w="2693" w:type="dxa"/>
            <w:vAlign w:val="center"/>
          </w:tcPr>
          <w:p w14:paraId="63019216">
            <w:pPr>
              <w:pStyle w:val="181"/>
              <w:rPr>
                <w:rFonts w:hint="eastAsia" w:hAnsi="宋体"/>
                <w:szCs w:val="18"/>
              </w:rPr>
            </w:pPr>
            <w:r>
              <w:rPr>
                <w:rFonts w:hint="eastAsia" w:hAnsi="宋体"/>
                <w:szCs w:val="18"/>
              </w:rPr>
              <w:t>互调失真</w:t>
            </w:r>
          </w:p>
        </w:tc>
        <w:tc>
          <w:tcPr>
            <w:tcW w:w="5658" w:type="dxa"/>
            <w:vAlign w:val="center"/>
          </w:tcPr>
          <w:p w14:paraId="4E4E2EA2">
            <w:pPr>
              <w:pStyle w:val="181"/>
              <w:rPr>
                <w:rFonts w:hint="eastAsia" w:hAnsi="宋体"/>
                <w:szCs w:val="18"/>
              </w:rPr>
            </w:pPr>
            <w:r>
              <w:rPr>
                <w:rFonts w:hint="eastAsia" w:hAnsi="宋体"/>
                <w:szCs w:val="18"/>
              </w:rPr>
              <w:t>≤0.0</w:t>
            </w:r>
            <w:r>
              <w:rPr>
                <w:rFonts w:hAnsi="宋体"/>
                <w:szCs w:val="18"/>
              </w:rPr>
              <w:t>2</w:t>
            </w:r>
            <w:r>
              <w:rPr>
                <w:rFonts w:hint="eastAsia" w:hAnsi="宋体"/>
                <w:szCs w:val="18"/>
              </w:rPr>
              <w:t>%</w:t>
            </w:r>
          </w:p>
        </w:tc>
      </w:tr>
      <w:tr w14:paraId="3CAFC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Align w:val="center"/>
          </w:tcPr>
          <w:p w14:paraId="7F0CBDDC">
            <w:pPr>
              <w:pStyle w:val="181"/>
            </w:pPr>
            <w:r>
              <w:rPr>
                <w:rFonts w:hint="eastAsia"/>
              </w:rPr>
              <w:t>9</w:t>
            </w:r>
          </w:p>
        </w:tc>
        <w:tc>
          <w:tcPr>
            <w:tcW w:w="2693" w:type="dxa"/>
            <w:vAlign w:val="center"/>
          </w:tcPr>
          <w:p w14:paraId="26DC8F85">
            <w:pPr>
              <w:pStyle w:val="181"/>
              <w:rPr>
                <w:rFonts w:hint="eastAsia" w:hAnsi="宋体"/>
                <w:szCs w:val="18"/>
              </w:rPr>
            </w:pPr>
            <w:r>
              <w:rPr>
                <w:rFonts w:hint="eastAsia" w:hAnsi="宋体"/>
                <w:szCs w:val="18"/>
              </w:rPr>
              <w:t>相邻通道间相位差</w:t>
            </w:r>
          </w:p>
        </w:tc>
        <w:tc>
          <w:tcPr>
            <w:tcW w:w="5658" w:type="dxa"/>
            <w:vAlign w:val="center"/>
          </w:tcPr>
          <w:p w14:paraId="767A98AF">
            <w:pPr>
              <w:pStyle w:val="181"/>
              <w:ind w:left="105" w:leftChars="50" w:right="105" w:rightChars="50"/>
              <w:rPr>
                <w:rFonts w:hint="eastAsia" w:hAnsi="宋体"/>
                <w:szCs w:val="18"/>
              </w:rPr>
            </w:pPr>
            <w:r>
              <w:rPr>
                <w:rFonts w:hint="eastAsia" w:hAnsi="宋体"/>
                <w:szCs w:val="18"/>
              </w:rPr>
              <w:t>应控制在±</w:t>
            </w:r>
            <w:r>
              <w:rPr>
                <w:rFonts w:hAnsi="宋体"/>
                <w:szCs w:val="18"/>
              </w:rPr>
              <w:t>0.5</w:t>
            </w:r>
            <w:r>
              <w:rPr>
                <w:rFonts w:hint="eastAsia" w:hAnsi="宋体"/>
                <w:szCs w:val="18"/>
              </w:rPr>
              <w:t>°之内</w:t>
            </w:r>
          </w:p>
          <w:p w14:paraId="58407AB1">
            <w:pPr>
              <w:pStyle w:val="181"/>
              <w:rPr>
                <w:rFonts w:hint="eastAsia" w:hAnsi="宋体"/>
                <w:szCs w:val="18"/>
              </w:rPr>
            </w:pPr>
            <w:r>
              <w:rPr>
                <w:rFonts w:hint="eastAsia" w:hAnsi="宋体"/>
                <w:szCs w:val="18"/>
              </w:rPr>
              <w:t>（20</w:t>
            </w:r>
            <w:r>
              <w:rPr>
                <w:rFonts w:hAnsi="宋体"/>
                <w:szCs w:val="18"/>
              </w:rPr>
              <w:t xml:space="preserve"> </w:t>
            </w:r>
            <w:r>
              <w:rPr>
                <w:rFonts w:hint="eastAsia" w:hAnsi="宋体"/>
                <w:szCs w:val="18"/>
              </w:rPr>
              <w:t>Hz～20</w:t>
            </w:r>
            <w:r>
              <w:rPr>
                <w:rFonts w:hAnsi="宋体"/>
                <w:szCs w:val="18"/>
              </w:rPr>
              <w:t xml:space="preserve"> k</w:t>
            </w:r>
            <w:r>
              <w:rPr>
                <w:rFonts w:hint="eastAsia" w:hAnsi="宋体"/>
                <w:szCs w:val="18"/>
              </w:rPr>
              <w:t>Hz）</w:t>
            </w:r>
          </w:p>
        </w:tc>
      </w:tr>
      <w:bookmarkEnd w:id="93"/>
    </w:tbl>
    <w:p w14:paraId="3DA7C5DA">
      <w:pPr>
        <w:pStyle w:val="108"/>
        <w:spacing w:before="156" w:after="156"/>
      </w:pPr>
      <w:bookmarkStart w:id="94" w:name="_Toc203577734"/>
      <w:bookmarkStart w:id="95" w:name="_Toc54597425"/>
      <w:r>
        <w:rPr>
          <w:rFonts w:hint="eastAsia"/>
        </w:rPr>
        <w:t>设备可靠性、安全性和稳定性</w:t>
      </w:r>
      <w:bookmarkEnd w:id="94"/>
      <w:bookmarkEnd w:id="95"/>
    </w:p>
    <w:p w14:paraId="685E0865">
      <w:pPr>
        <w:pStyle w:val="233"/>
      </w:pPr>
      <w:r>
        <w:rPr>
          <w:rFonts w:hint="eastAsia"/>
        </w:rPr>
        <w:t>数字影院沉浸式音频处理器设备可靠性、安全性和稳定性技术要求应符合表3的规定。</w:t>
      </w:r>
    </w:p>
    <w:p w14:paraId="7A75007A">
      <w:pPr>
        <w:pStyle w:val="115"/>
        <w:spacing w:before="156" w:after="156"/>
        <w:ind w:left="0"/>
      </w:pPr>
      <w:r>
        <w:rPr>
          <w:rFonts w:hint="eastAsia"/>
        </w:rPr>
        <w:t>设备可靠性、安全性和稳定性技术要求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559"/>
        <w:gridCol w:w="7076"/>
      </w:tblGrid>
      <w:tr w14:paraId="4D58B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699" w:type="dxa"/>
            <w:tcBorders>
              <w:top w:val="single" w:color="auto" w:sz="8" w:space="0"/>
            </w:tcBorders>
            <w:vAlign w:val="center"/>
          </w:tcPr>
          <w:p w14:paraId="75A036D6">
            <w:pPr>
              <w:pStyle w:val="181"/>
              <w:ind w:left="105" w:leftChars="50" w:right="105" w:rightChars="50"/>
            </w:pPr>
            <w:r>
              <w:rPr>
                <w:rFonts w:hint="eastAsia"/>
              </w:rPr>
              <w:t>序号</w:t>
            </w:r>
          </w:p>
        </w:tc>
        <w:tc>
          <w:tcPr>
            <w:tcW w:w="1559" w:type="dxa"/>
            <w:tcBorders>
              <w:top w:val="single" w:color="auto" w:sz="8" w:space="0"/>
            </w:tcBorders>
            <w:vAlign w:val="center"/>
          </w:tcPr>
          <w:p w14:paraId="1E64ACF3">
            <w:pPr>
              <w:pStyle w:val="181"/>
              <w:ind w:left="105" w:leftChars="50" w:right="105" w:rightChars="50"/>
            </w:pPr>
            <w:r>
              <w:rPr>
                <w:rFonts w:hint="eastAsia"/>
              </w:rPr>
              <w:t>参数</w:t>
            </w:r>
          </w:p>
        </w:tc>
        <w:tc>
          <w:tcPr>
            <w:tcW w:w="7076" w:type="dxa"/>
            <w:tcBorders>
              <w:top w:val="single" w:color="auto" w:sz="8" w:space="0"/>
              <w:bottom w:val="single" w:color="auto" w:sz="8" w:space="0"/>
            </w:tcBorders>
            <w:vAlign w:val="center"/>
          </w:tcPr>
          <w:p w14:paraId="174BADD6">
            <w:pPr>
              <w:pStyle w:val="181"/>
              <w:ind w:left="105" w:leftChars="50" w:right="105" w:rightChars="50"/>
            </w:pPr>
            <w:r>
              <w:rPr>
                <w:rFonts w:hint="eastAsia"/>
              </w:rPr>
              <w:t>技术要求</w:t>
            </w:r>
          </w:p>
        </w:tc>
      </w:tr>
      <w:tr w14:paraId="407F1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vAlign w:val="center"/>
          </w:tcPr>
          <w:p w14:paraId="5E699D1B">
            <w:pPr>
              <w:pStyle w:val="181"/>
              <w:ind w:left="105" w:leftChars="50" w:right="105" w:rightChars="50"/>
            </w:pPr>
            <w:r>
              <w:rPr>
                <w:rFonts w:hint="eastAsia"/>
              </w:rPr>
              <w:t>1</w:t>
            </w:r>
          </w:p>
        </w:tc>
        <w:tc>
          <w:tcPr>
            <w:tcW w:w="1559" w:type="dxa"/>
            <w:tcBorders>
              <w:top w:val="single" w:color="auto" w:sz="8" w:space="0"/>
            </w:tcBorders>
            <w:vAlign w:val="center"/>
          </w:tcPr>
          <w:p w14:paraId="14BCFAB7">
            <w:pPr>
              <w:pStyle w:val="181"/>
              <w:ind w:left="105" w:leftChars="50" w:right="105" w:rightChars="50"/>
            </w:pPr>
            <w:bookmarkStart w:id="96" w:name="_Hlk72576348"/>
            <w:r>
              <w:rPr>
                <w:rFonts w:hint="eastAsia"/>
              </w:rPr>
              <w:t>温湿度适应能力</w:t>
            </w:r>
            <w:bookmarkEnd w:id="96"/>
          </w:p>
        </w:tc>
        <w:tc>
          <w:tcPr>
            <w:tcW w:w="7076" w:type="dxa"/>
            <w:tcBorders>
              <w:top w:val="single" w:color="auto" w:sz="8" w:space="0"/>
            </w:tcBorders>
            <w:vAlign w:val="center"/>
          </w:tcPr>
          <w:p w14:paraId="30EAF328">
            <w:pPr>
              <w:pStyle w:val="181"/>
              <w:ind w:left="105" w:leftChars="50" w:right="105" w:rightChars="50"/>
              <w:jc w:val="both"/>
            </w:pPr>
            <w:r>
              <w:rPr>
                <w:rFonts w:hint="eastAsia"/>
                <w:szCs w:val="21"/>
              </w:rPr>
              <w:t>设备在温度为0 ºC～40</w:t>
            </w:r>
            <w:r>
              <w:rPr>
                <w:szCs w:val="21"/>
              </w:rPr>
              <w:t xml:space="preserve"> </w:t>
            </w:r>
            <w:r>
              <w:rPr>
                <w:rFonts w:hint="eastAsia"/>
                <w:szCs w:val="21"/>
              </w:rPr>
              <w:t>ºC、相对湿度为10%～80%的测量环境中应能够连续8</w:t>
            </w:r>
            <w:r>
              <w:rPr>
                <w:szCs w:val="21"/>
              </w:rPr>
              <w:t xml:space="preserve"> </w:t>
            </w:r>
            <w:r>
              <w:rPr>
                <w:rFonts w:hint="eastAsia"/>
                <w:szCs w:val="21"/>
              </w:rPr>
              <w:t>h正常稳定运行。</w:t>
            </w:r>
          </w:p>
        </w:tc>
      </w:tr>
      <w:tr w14:paraId="60780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6620057C">
            <w:pPr>
              <w:pStyle w:val="181"/>
              <w:ind w:left="105" w:leftChars="50" w:right="105" w:rightChars="50"/>
            </w:pPr>
            <w:r>
              <w:t>2</w:t>
            </w:r>
          </w:p>
        </w:tc>
        <w:tc>
          <w:tcPr>
            <w:tcW w:w="1559" w:type="dxa"/>
            <w:vAlign w:val="center"/>
          </w:tcPr>
          <w:p w14:paraId="757F60A0">
            <w:pPr>
              <w:pStyle w:val="181"/>
              <w:ind w:left="105" w:leftChars="50" w:right="105" w:rightChars="50"/>
            </w:pPr>
            <w:r>
              <w:rPr>
                <w:rFonts w:hint="eastAsia"/>
              </w:rPr>
              <w:t>电源适应范围</w:t>
            </w:r>
          </w:p>
        </w:tc>
        <w:tc>
          <w:tcPr>
            <w:tcW w:w="7076" w:type="dxa"/>
            <w:vAlign w:val="center"/>
          </w:tcPr>
          <w:p w14:paraId="32AAE09F">
            <w:pPr>
              <w:pStyle w:val="181"/>
              <w:ind w:left="105" w:leftChars="50" w:right="105" w:rightChars="50"/>
            </w:pPr>
            <w:r>
              <w:rPr>
                <w:rFonts w:hint="eastAsia"/>
                <w:szCs w:val="21"/>
              </w:rPr>
              <w:t>设备在160</w:t>
            </w:r>
            <w:r>
              <w:rPr>
                <w:szCs w:val="21"/>
              </w:rPr>
              <w:t xml:space="preserve"> </w:t>
            </w:r>
            <w:r>
              <w:rPr>
                <w:rFonts w:hint="eastAsia"/>
                <w:szCs w:val="21"/>
              </w:rPr>
              <w:t>V～240</w:t>
            </w:r>
            <w:r>
              <w:rPr>
                <w:szCs w:val="21"/>
              </w:rPr>
              <w:t xml:space="preserve"> </w:t>
            </w:r>
            <w:r>
              <w:rPr>
                <w:rFonts w:hint="eastAsia"/>
                <w:szCs w:val="21"/>
              </w:rPr>
              <w:t>V交流电源范围内，设备应能够正常工作。</w:t>
            </w:r>
          </w:p>
        </w:tc>
      </w:tr>
      <w:tr w14:paraId="3F2770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78F39B83">
            <w:pPr>
              <w:pStyle w:val="181"/>
              <w:ind w:left="105" w:leftChars="50" w:right="105" w:rightChars="50"/>
            </w:pPr>
            <w:r>
              <w:t>3</w:t>
            </w:r>
          </w:p>
        </w:tc>
        <w:tc>
          <w:tcPr>
            <w:tcW w:w="1559" w:type="dxa"/>
            <w:vAlign w:val="center"/>
          </w:tcPr>
          <w:p w14:paraId="34A1DA2A">
            <w:pPr>
              <w:pStyle w:val="181"/>
              <w:ind w:left="105" w:leftChars="50" w:right="105" w:rightChars="50"/>
            </w:pPr>
            <w:r>
              <w:rPr>
                <w:rFonts w:hint="eastAsia"/>
              </w:rPr>
              <w:t>断电保护</w:t>
            </w:r>
          </w:p>
        </w:tc>
        <w:tc>
          <w:tcPr>
            <w:tcW w:w="7076" w:type="dxa"/>
            <w:vAlign w:val="center"/>
          </w:tcPr>
          <w:p w14:paraId="403B548D">
            <w:pPr>
              <w:pStyle w:val="181"/>
              <w:ind w:left="105" w:leftChars="50" w:right="105" w:rightChars="50"/>
            </w:pPr>
            <w:r>
              <w:rPr>
                <w:rFonts w:hint="eastAsia"/>
              </w:rPr>
              <w:t>设备在非正常断电后，重新开机应能够正常播放。</w:t>
            </w:r>
          </w:p>
        </w:tc>
      </w:tr>
      <w:tr w14:paraId="56AB1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14:paraId="67065438">
            <w:pPr>
              <w:pStyle w:val="181"/>
              <w:ind w:left="105" w:leftChars="50" w:right="105" w:rightChars="50"/>
            </w:pPr>
            <w:r>
              <w:t>4</w:t>
            </w:r>
          </w:p>
        </w:tc>
        <w:tc>
          <w:tcPr>
            <w:tcW w:w="1559" w:type="dxa"/>
            <w:vAlign w:val="center"/>
          </w:tcPr>
          <w:p w14:paraId="78D9D031">
            <w:pPr>
              <w:pStyle w:val="181"/>
              <w:ind w:left="105" w:leftChars="50" w:right="105" w:rightChars="50"/>
            </w:pPr>
            <w:r>
              <w:rPr>
                <w:rFonts w:hint="eastAsia"/>
              </w:rPr>
              <w:t>规范操作</w:t>
            </w:r>
          </w:p>
        </w:tc>
        <w:tc>
          <w:tcPr>
            <w:tcW w:w="7076" w:type="dxa"/>
            <w:vAlign w:val="center"/>
          </w:tcPr>
          <w:p w14:paraId="5714DE90">
            <w:pPr>
              <w:pStyle w:val="181"/>
              <w:ind w:left="105" w:leftChars="50" w:right="105" w:rightChars="50"/>
            </w:pPr>
            <w:r>
              <w:rPr>
                <w:rFonts w:hint="eastAsia"/>
              </w:rPr>
              <w:t>设备按产品说明书规范操作，设备应能无差错稳定工作。</w:t>
            </w:r>
          </w:p>
        </w:tc>
      </w:tr>
    </w:tbl>
    <w:p w14:paraId="7BA1344E">
      <w:pPr>
        <w:pStyle w:val="107"/>
        <w:spacing w:before="312" w:after="312"/>
      </w:pPr>
      <w:bookmarkStart w:id="97" w:name="_Toc54597426"/>
      <w:bookmarkStart w:id="98" w:name="_Toc203577735"/>
      <w:r>
        <w:rPr>
          <w:rFonts w:hint="eastAsia"/>
        </w:rPr>
        <w:t>测量方法</w:t>
      </w:r>
      <w:bookmarkEnd w:id="97"/>
      <w:bookmarkEnd w:id="98"/>
    </w:p>
    <w:p w14:paraId="72607BF6">
      <w:pPr>
        <w:pStyle w:val="108"/>
        <w:spacing w:before="156" w:after="156"/>
      </w:pPr>
      <w:bookmarkStart w:id="99" w:name="_Toc54597427"/>
      <w:bookmarkStart w:id="100" w:name="_Toc203577736"/>
      <w:r>
        <w:rPr>
          <w:rFonts w:hint="eastAsia"/>
        </w:rPr>
        <w:t>测量环境要求</w:t>
      </w:r>
      <w:bookmarkEnd w:id="99"/>
      <w:bookmarkEnd w:id="100"/>
    </w:p>
    <w:p w14:paraId="32CC8129">
      <w:pPr>
        <w:pStyle w:val="59"/>
        <w:ind w:firstLine="420"/>
        <w:rPr>
          <w:rFonts w:hint="eastAsia"/>
        </w:rPr>
      </w:pPr>
      <w:r>
        <w:rPr>
          <w:rFonts w:hint="eastAsia"/>
        </w:rPr>
        <w:t>测量环境要求如下：</w:t>
      </w:r>
    </w:p>
    <w:p w14:paraId="2C144309">
      <w:pPr>
        <w:pStyle w:val="135"/>
      </w:pPr>
      <w:r>
        <w:rPr>
          <w:rFonts w:hint="eastAsia"/>
        </w:rPr>
        <w:t>测量环境温度为15 ℃～35 ℃，相对湿度为10%～</w:t>
      </w:r>
      <w:r>
        <w:t>8</w:t>
      </w:r>
      <w:r>
        <w:rPr>
          <w:rFonts w:hint="eastAsia"/>
        </w:rPr>
        <w:t>0%，大气压力为86 kPa～110 kPa；</w:t>
      </w:r>
    </w:p>
    <w:p w14:paraId="205C79A0">
      <w:pPr>
        <w:pStyle w:val="135"/>
      </w:pPr>
      <w:r>
        <w:rPr>
          <w:rFonts w:hint="eastAsia"/>
        </w:rPr>
        <w:t>电源电压为 （220±2）VAC、频率为 （50±1）Hz、电源谐波失真不高于3%；</w:t>
      </w:r>
    </w:p>
    <w:p w14:paraId="16B2C24C">
      <w:pPr>
        <w:pStyle w:val="135"/>
      </w:pPr>
      <w:r>
        <w:rPr>
          <w:rFonts w:hint="eastAsia"/>
        </w:rPr>
        <w:t>所有设备应处于正常稳定工作状态或按测量要求进行配置。</w:t>
      </w:r>
    </w:p>
    <w:p w14:paraId="62D4A8E9">
      <w:pPr>
        <w:pStyle w:val="108"/>
        <w:spacing w:before="156" w:after="156"/>
      </w:pPr>
      <w:bookmarkStart w:id="101" w:name="_Toc203577737"/>
      <w:r>
        <w:rPr>
          <w:rFonts w:hint="eastAsia"/>
        </w:rPr>
        <w:t>测量条件</w:t>
      </w:r>
      <w:bookmarkEnd w:id="101"/>
    </w:p>
    <w:p w14:paraId="1360E18B">
      <w:pPr>
        <w:pStyle w:val="68"/>
        <w:spacing w:before="156" w:after="156"/>
      </w:pPr>
      <w:r>
        <w:rPr>
          <w:rFonts w:hint="eastAsia"/>
        </w:rPr>
        <w:t>测量仪器和设备</w:t>
      </w:r>
    </w:p>
    <w:p w14:paraId="06B93E62">
      <w:pPr>
        <w:pStyle w:val="59"/>
        <w:ind w:firstLine="420"/>
      </w:pPr>
      <w:r>
        <w:rPr>
          <w:rFonts w:hint="eastAsia"/>
        </w:rPr>
        <w:t>测量仪器和设备要求如下：</w:t>
      </w:r>
    </w:p>
    <w:p w14:paraId="0B9AE183">
      <w:pPr>
        <w:pStyle w:val="135"/>
      </w:pPr>
      <w:r>
        <w:rPr>
          <w:rFonts w:hint="eastAsia"/>
        </w:rPr>
        <w:t>音频信号发生器应具有数字音频信号接口（符合GY/T 158—2000，XLR平衡接口）和模拟音频信号接口（XLR平衡接口），能产生本文件中规定的测试音频信号；</w:t>
      </w:r>
    </w:p>
    <w:p w14:paraId="4FCA2300">
      <w:pPr>
        <w:pStyle w:val="135"/>
      </w:pPr>
      <w:r>
        <w:rPr>
          <w:rFonts w:hint="eastAsia"/>
        </w:rPr>
        <w:t>音频信号测试仪应具有数字音频信号接口（符合GY/T 158—2000，</w:t>
      </w:r>
      <w:bookmarkStart w:id="102" w:name="OLE_LINK5"/>
      <w:r>
        <w:rPr>
          <w:rFonts w:hint="eastAsia"/>
        </w:rPr>
        <w:t>XLR</w:t>
      </w:r>
      <w:bookmarkEnd w:id="102"/>
      <w:r>
        <w:rPr>
          <w:rFonts w:hint="eastAsia"/>
        </w:rPr>
        <w:t>平衡接口）和模拟音频信号接口（XLR平衡接口），能读取本文件测量方法所规定的测试项目参数；</w:t>
      </w:r>
    </w:p>
    <w:p w14:paraId="18AD8A9F">
      <w:pPr>
        <w:pStyle w:val="135"/>
      </w:pPr>
      <w:r>
        <w:rPr>
          <w:rFonts w:hint="eastAsia"/>
        </w:rPr>
        <w:t>音频信号发生器和音频信号测试仪的精度应优于被测设备指标一个数量级；</w:t>
      </w:r>
    </w:p>
    <w:p w14:paraId="54ABC483">
      <w:pPr>
        <w:pStyle w:val="135"/>
      </w:pPr>
      <w:r>
        <w:rPr>
          <w:rFonts w:hint="eastAsia"/>
        </w:rPr>
        <w:t>音频信号测试仪输出正弦波形失真度不大于0</w:t>
      </w:r>
      <w:r>
        <w:t>.003</w:t>
      </w:r>
      <w:r>
        <w:rPr>
          <w:rFonts w:hint="eastAsia"/>
        </w:rPr>
        <w:t>%（频率：</w:t>
      </w:r>
      <w:r>
        <w:t>20 Hz</w:t>
      </w:r>
      <w:r>
        <w:rPr>
          <w:rFonts w:hint="eastAsia" w:hAnsi="宋体"/>
        </w:rPr>
        <w:t>～2</w:t>
      </w:r>
      <w:r>
        <w:rPr>
          <w:rFonts w:hAnsi="宋体"/>
        </w:rPr>
        <w:t>0 kHz）</w:t>
      </w:r>
      <w:r>
        <w:rPr>
          <w:rFonts w:hint="eastAsia" w:hAnsi="宋体"/>
        </w:rPr>
        <w:t>、</w:t>
      </w:r>
      <w:r>
        <w:rPr>
          <w:rFonts w:hint="eastAsia"/>
        </w:rPr>
        <w:t>电压误差不大于</w:t>
      </w:r>
      <w:r>
        <w:t>1%</w:t>
      </w:r>
      <w:r>
        <w:rPr>
          <w:rFonts w:hint="eastAsia"/>
        </w:rPr>
        <w:t>（电压范围：1</w:t>
      </w:r>
      <w:r>
        <w:t xml:space="preserve"> </w:t>
      </w:r>
      <w:r>
        <w:rPr>
          <w:rFonts w:hint="eastAsia"/>
        </w:rPr>
        <w:t>m</w:t>
      </w:r>
      <w:r>
        <w:t>V</w:t>
      </w:r>
      <w:r>
        <w:rPr>
          <w:rFonts w:hint="eastAsia" w:hAnsi="宋体"/>
        </w:rPr>
        <w:t>～1</w:t>
      </w:r>
      <w:r>
        <w:rPr>
          <w:rFonts w:hAnsi="宋体"/>
        </w:rPr>
        <w:t>0 V</w:t>
      </w:r>
      <w:r>
        <w:rPr>
          <w:rFonts w:hint="eastAsia" w:hAnsi="宋体"/>
        </w:rPr>
        <w:t>，频率：1</w:t>
      </w:r>
      <w:r>
        <w:rPr>
          <w:rFonts w:hAnsi="宋体"/>
        </w:rPr>
        <w:t xml:space="preserve"> </w:t>
      </w:r>
      <w:r>
        <w:rPr>
          <w:rFonts w:hint="eastAsia" w:hAnsi="宋体"/>
        </w:rPr>
        <w:t>k</w:t>
      </w:r>
      <w:r>
        <w:rPr>
          <w:rFonts w:hAnsi="宋体"/>
        </w:rPr>
        <w:t>Hz</w:t>
      </w:r>
      <w:r>
        <w:rPr>
          <w:rFonts w:hint="eastAsia"/>
        </w:rPr>
        <w:t>）、失真度测量误差不大于5%（频率：</w:t>
      </w:r>
      <w:r>
        <w:t>20 Hz</w:t>
      </w:r>
      <w:r>
        <w:rPr>
          <w:rFonts w:hint="eastAsia" w:hAnsi="宋体"/>
        </w:rPr>
        <w:t>～2</w:t>
      </w:r>
      <w:r>
        <w:rPr>
          <w:rFonts w:hAnsi="宋体"/>
        </w:rPr>
        <w:t>0 kHz）</w:t>
      </w:r>
      <w:r>
        <w:rPr>
          <w:rFonts w:hint="eastAsia"/>
        </w:rPr>
        <w:t>；</w:t>
      </w:r>
    </w:p>
    <w:p w14:paraId="5C9EABC2">
      <w:pPr>
        <w:pStyle w:val="135"/>
      </w:pPr>
      <w:r>
        <w:rPr>
          <w:rFonts w:hint="eastAsia"/>
        </w:rPr>
        <w:t>音频信号测试仪应具有20</w:t>
      </w:r>
      <w:r>
        <w:t xml:space="preserve"> </w:t>
      </w:r>
      <w:r>
        <w:rPr>
          <w:rFonts w:hint="eastAsia"/>
        </w:rPr>
        <w:t>Hz～100</w:t>
      </w:r>
      <w:r>
        <w:t xml:space="preserve"> </w:t>
      </w:r>
      <w:r>
        <w:rPr>
          <w:rFonts w:hint="eastAsia"/>
        </w:rPr>
        <w:t>kHz带通滤波器功能，起始频率和截止频率应在通带内可调；</w:t>
      </w:r>
    </w:p>
    <w:p w14:paraId="4E3006F8">
      <w:pPr>
        <w:pStyle w:val="135"/>
      </w:pPr>
      <w:r>
        <w:rPr>
          <w:rFonts w:hint="eastAsia"/>
        </w:rPr>
        <w:t>可调节恒压电源的交流电压调节范围应不小于</w:t>
      </w:r>
      <w:r>
        <w:t>140 V/50 Hz</w:t>
      </w:r>
      <w:r>
        <w:rPr>
          <w:rFonts w:hint="eastAsia"/>
        </w:rPr>
        <w:t>～</w:t>
      </w:r>
      <w:r>
        <w:t>260 V/50 Hz</w:t>
      </w:r>
      <w:r>
        <w:rPr>
          <w:rFonts w:hint="eastAsia"/>
        </w:rPr>
        <w:t>，A</w:t>
      </w:r>
      <w:r>
        <w:t>C</w:t>
      </w:r>
      <w:r>
        <w:rPr>
          <w:rFonts w:hint="eastAsia"/>
        </w:rPr>
        <w:t>输出失真度不大于0</w:t>
      </w:r>
      <w:r>
        <w:t>.5</w:t>
      </w:r>
      <w:r>
        <w:rPr>
          <w:rFonts w:hint="eastAsia"/>
        </w:rPr>
        <w:t>%，A</w:t>
      </w:r>
      <w:r>
        <w:t>C</w:t>
      </w:r>
      <w:r>
        <w:rPr>
          <w:rFonts w:hint="eastAsia"/>
        </w:rPr>
        <w:t>电压调整步进不大于0</w:t>
      </w:r>
      <w:r>
        <w:t>.3 V</w:t>
      </w:r>
      <w:r>
        <w:rPr>
          <w:rFonts w:hint="eastAsia"/>
        </w:rPr>
        <w:t>；</w:t>
      </w:r>
    </w:p>
    <w:p w14:paraId="23883B9A">
      <w:pPr>
        <w:pStyle w:val="135"/>
      </w:pPr>
      <w:r>
        <w:rPr>
          <w:rFonts w:hint="eastAsia"/>
        </w:rPr>
        <w:t>高低温试验箱的温度可调节范围不小于</w:t>
      </w:r>
      <w:r>
        <w:t xml:space="preserve">0 </w:t>
      </w:r>
      <w:r>
        <w:rPr>
          <w:rFonts w:hint="eastAsia"/>
        </w:rPr>
        <w:t>℃～</w:t>
      </w:r>
      <w:r>
        <w:t xml:space="preserve">40 </w:t>
      </w:r>
      <w:r>
        <w:rPr>
          <w:rFonts w:hint="eastAsia"/>
        </w:rPr>
        <w:t>℃、均匀度不大于1</w:t>
      </w:r>
      <w:r>
        <w:t xml:space="preserve"> </w:t>
      </w:r>
      <w:r>
        <w:rPr>
          <w:rFonts w:hint="eastAsia"/>
        </w:rPr>
        <w:t>℃，相对湿度可调节范围不小于</w:t>
      </w:r>
      <w:r>
        <w:t>10</w:t>
      </w:r>
      <w:r>
        <w:rPr>
          <w:rFonts w:hint="eastAsia"/>
        </w:rPr>
        <w:t>%～</w:t>
      </w:r>
      <w:r>
        <w:t>80</w:t>
      </w:r>
      <w:r>
        <w:rPr>
          <w:rFonts w:hint="eastAsia"/>
        </w:rPr>
        <w:t>%、均匀度不大于1%。</w:t>
      </w:r>
    </w:p>
    <w:p w14:paraId="3C633ED0">
      <w:pPr>
        <w:pStyle w:val="68"/>
        <w:spacing w:before="156" w:after="156"/>
      </w:pPr>
      <w:bookmarkStart w:id="103" w:name="_Toc505682191"/>
      <w:r>
        <w:rPr>
          <w:rFonts w:hint="eastAsia"/>
        </w:rPr>
        <w:t>测量优选频率</w:t>
      </w:r>
      <w:bookmarkEnd w:id="103"/>
    </w:p>
    <w:p w14:paraId="466D906C">
      <w:pPr>
        <w:pStyle w:val="59"/>
        <w:ind w:firstLine="420"/>
      </w:pPr>
      <w:r>
        <w:rPr>
          <w:rFonts w:hint="eastAsia"/>
        </w:rPr>
        <w:t>测量优选频率为：20</w:t>
      </w:r>
      <w:r>
        <w:t xml:space="preserve"> </w:t>
      </w:r>
      <w:r>
        <w:rPr>
          <w:rFonts w:hint="eastAsia"/>
        </w:rPr>
        <w:t>Hz、31.5</w:t>
      </w:r>
      <w:r>
        <w:t xml:space="preserve"> </w:t>
      </w:r>
      <w:r>
        <w:rPr>
          <w:rFonts w:hint="eastAsia"/>
        </w:rPr>
        <w:t>Hz、40</w:t>
      </w:r>
      <w:r>
        <w:t xml:space="preserve"> </w:t>
      </w:r>
      <w:r>
        <w:rPr>
          <w:rFonts w:hint="eastAsia"/>
        </w:rPr>
        <w:t>Hz、63</w:t>
      </w:r>
      <w:r>
        <w:t xml:space="preserve"> </w:t>
      </w:r>
      <w:r>
        <w:rPr>
          <w:rFonts w:hint="eastAsia"/>
        </w:rPr>
        <w:t>Hz、80</w:t>
      </w:r>
      <w:r>
        <w:t xml:space="preserve"> </w:t>
      </w:r>
      <w:r>
        <w:rPr>
          <w:rFonts w:hint="eastAsia"/>
        </w:rPr>
        <w:t>Hz、125</w:t>
      </w:r>
      <w:r>
        <w:t xml:space="preserve"> </w:t>
      </w:r>
      <w:r>
        <w:rPr>
          <w:rFonts w:hint="eastAsia"/>
        </w:rPr>
        <w:t>Hz、250</w:t>
      </w:r>
      <w:r>
        <w:t xml:space="preserve"> </w:t>
      </w:r>
      <w:r>
        <w:rPr>
          <w:rFonts w:hint="eastAsia"/>
        </w:rPr>
        <w:t>Hz、500</w:t>
      </w:r>
      <w:r>
        <w:t xml:space="preserve"> </w:t>
      </w:r>
      <w:r>
        <w:rPr>
          <w:rFonts w:hint="eastAsia"/>
        </w:rPr>
        <w:t>Hz、1</w:t>
      </w:r>
      <w:r>
        <w:t xml:space="preserve"> k</w:t>
      </w:r>
      <w:r>
        <w:rPr>
          <w:rFonts w:hint="eastAsia"/>
        </w:rPr>
        <w:t>Hz、2</w:t>
      </w:r>
      <w:r>
        <w:t xml:space="preserve"> k</w:t>
      </w:r>
      <w:r>
        <w:rPr>
          <w:rFonts w:hint="eastAsia"/>
        </w:rPr>
        <w:t>Hz、4</w:t>
      </w:r>
      <w:r>
        <w:t xml:space="preserve"> k</w:t>
      </w:r>
      <w:r>
        <w:rPr>
          <w:rFonts w:hint="eastAsia"/>
        </w:rPr>
        <w:t>Hz、8</w:t>
      </w:r>
      <w:r>
        <w:t xml:space="preserve"> k</w:t>
      </w:r>
      <w:r>
        <w:rPr>
          <w:rFonts w:hint="eastAsia"/>
        </w:rPr>
        <w:t>Hz、10</w:t>
      </w:r>
      <w:r>
        <w:t xml:space="preserve"> k</w:t>
      </w:r>
      <w:r>
        <w:rPr>
          <w:rFonts w:hint="eastAsia"/>
        </w:rPr>
        <w:t>Hz、12.5</w:t>
      </w:r>
      <w:r>
        <w:t xml:space="preserve"> k</w:t>
      </w:r>
      <w:r>
        <w:rPr>
          <w:rFonts w:hint="eastAsia"/>
        </w:rPr>
        <w:t>Hz、16</w:t>
      </w:r>
      <w:r>
        <w:t xml:space="preserve"> k</w:t>
      </w:r>
      <w:r>
        <w:rPr>
          <w:rFonts w:hint="eastAsia"/>
        </w:rPr>
        <w:t>Hz、20</w:t>
      </w:r>
      <w:r>
        <w:t xml:space="preserve"> k</w:t>
      </w:r>
      <w:r>
        <w:rPr>
          <w:rFonts w:hint="eastAsia"/>
        </w:rPr>
        <w:t>Hz。</w:t>
      </w:r>
    </w:p>
    <w:p w14:paraId="744A576C">
      <w:pPr>
        <w:pStyle w:val="68"/>
        <w:spacing w:before="156" w:after="156"/>
      </w:pPr>
      <w:r>
        <w:rPr>
          <w:rFonts w:hint="eastAsia"/>
        </w:rPr>
        <w:t>测量信号</w:t>
      </w:r>
    </w:p>
    <w:p w14:paraId="6308C26B">
      <w:pPr>
        <w:pStyle w:val="59"/>
        <w:ind w:firstLine="420"/>
      </w:pPr>
      <w:r>
        <w:rPr>
          <w:rFonts w:hint="eastAsia"/>
        </w:rPr>
        <w:t>测量信号要求如下：</w:t>
      </w:r>
    </w:p>
    <w:p w14:paraId="62176A32">
      <w:pPr>
        <w:pStyle w:val="135"/>
      </w:pPr>
      <w:r>
        <w:rPr>
          <w:rFonts w:hint="eastAsia"/>
        </w:rPr>
        <w:t>AES/EBU声道测量信号：包含16路音频测量信号的数字影院用DCP包；</w:t>
      </w:r>
    </w:p>
    <w:p w14:paraId="3751EC83">
      <w:pPr>
        <w:pStyle w:val="135"/>
      </w:pPr>
      <w:bookmarkStart w:id="104" w:name="OLE_LINK17"/>
      <w:r>
        <w:rPr>
          <w:rFonts w:hint="eastAsia"/>
        </w:rPr>
        <w:t>沉浸式音频测量信号</w:t>
      </w:r>
      <w:bookmarkEnd w:id="104"/>
      <w:r>
        <w:rPr>
          <w:rFonts w:hint="eastAsia"/>
        </w:rPr>
        <w:t>：包含声床、对象和对象元数据的沉浸式音频DCP包；</w:t>
      </w:r>
    </w:p>
    <w:p w14:paraId="5CEB2A17">
      <w:pPr>
        <w:pStyle w:val="135"/>
      </w:pPr>
      <w:bookmarkStart w:id="105" w:name="_Hlk203393075"/>
      <w:r>
        <w:rPr>
          <w:rFonts w:hint="eastAsia"/>
        </w:rPr>
        <w:t>沉浸式音频7.1声床测量信号</w:t>
      </w:r>
      <w:bookmarkEnd w:id="105"/>
      <w:r>
        <w:rPr>
          <w:rFonts w:hint="eastAsia"/>
        </w:rPr>
        <w:t>：包含8个声床的沉浸式音频DCP包；</w:t>
      </w:r>
    </w:p>
    <w:p w14:paraId="44BA9FA7">
      <w:pPr>
        <w:pStyle w:val="135"/>
      </w:pPr>
      <w:r>
        <w:rPr>
          <w:rFonts w:hint="eastAsia"/>
        </w:rPr>
        <w:t>沉浸式音频9.1声床测量信号：包含10个声床的沉浸式音频DCP包；</w:t>
      </w:r>
    </w:p>
    <w:p w14:paraId="468BA7B4">
      <w:pPr>
        <w:pStyle w:val="135"/>
      </w:pPr>
      <w:r>
        <w:rPr>
          <w:rFonts w:hint="eastAsia"/>
        </w:rPr>
        <w:t>沉浸式音频118个对象测量信号：包含118个对象和对象元数据的沉浸式音频DCP包；</w:t>
      </w:r>
    </w:p>
    <w:p w14:paraId="76AD7CA7">
      <w:pPr>
        <w:pStyle w:val="135"/>
      </w:pPr>
      <w:r>
        <w:rPr>
          <w:rFonts w:hint="eastAsia"/>
        </w:rPr>
        <w:t>沉浸式音频对象位置元数据测量信号：包含不同对象位置元数据的沉浸式音频DCP包；</w:t>
      </w:r>
    </w:p>
    <w:p w14:paraId="789411D1">
      <w:pPr>
        <w:pStyle w:val="135"/>
      </w:pPr>
      <w:r>
        <w:rPr>
          <w:rFonts w:hint="eastAsia"/>
        </w:rPr>
        <w:t>沉浸式音频对象增益元数据测量信号：包含从小到大对象增益元数据的沉浸式音频DCP包；</w:t>
      </w:r>
    </w:p>
    <w:p w14:paraId="637C8891">
      <w:pPr>
        <w:pStyle w:val="135"/>
      </w:pPr>
      <w:r>
        <w:rPr>
          <w:rFonts w:hint="eastAsia"/>
        </w:rPr>
        <w:t>声床通道延时测量信号：包含10个声床通道延时信号的沉浸式音频DCP包。</w:t>
      </w:r>
    </w:p>
    <w:p w14:paraId="3B901671">
      <w:pPr>
        <w:pStyle w:val="68"/>
        <w:spacing w:before="156" w:after="156"/>
      </w:pPr>
      <w:r>
        <w:rPr>
          <w:rFonts w:hint="eastAsia"/>
        </w:rPr>
        <w:t>测量人员</w:t>
      </w:r>
    </w:p>
    <w:p w14:paraId="21B9B8E1">
      <w:pPr>
        <w:pStyle w:val="59"/>
        <w:ind w:firstLine="420"/>
      </w:pPr>
      <w:r>
        <w:rPr>
          <w:rFonts w:hint="eastAsia"/>
        </w:rPr>
        <w:t>测量人员应具备正常的听力条件，并且两耳听力基本一致。</w:t>
      </w:r>
    </w:p>
    <w:p w14:paraId="6CF662AE">
      <w:pPr>
        <w:pStyle w:val="68"/>
        <w:spacing w:before="156" w:after="156"/>
      </w:pPr>
      <w:r>
        <w:rPr>
          <w:rFonts w:hint="eastAsia"/>
        </w:rPr>
        <w:t>测量状态</w:t>
      </w:r>
    </w:p>
    <w:p w14:paraId="4334B056">
      <w:pPr>
        <w:pStyle w:val="59"/>
        <w:ind w:firstLine="420"/>
      </w:pPr>
      <w:r>
        <w:rPr>
          <w:rFonts w:hint="eastAsia"/>
        </w:rPr>
        <w:t>测量状态要求如下：</w:t>
      </w:r>
    </w:p>
    <w:p w14:paraId="575DA849">
      <w:pPr>
        <w:pStyle w:val="135"/>
      </w:pPr>
      <w:r>
        <w:rPr>
          <w:rFonts w:hint="eastAsia"/>
        </w:rPr>
        <w:t>数字影院沉浸式音频处理器正常开机，待其进入正常稳定工作状态后，方可进行测量；</w:t>
      </w:r>
    </w:p>
    <w:p w14:paraId="3F0DD894">
      <w:pPr>
        <w:pStyle w:val="135"/>
      </w:pPr>
      <w:r>
        <w:rPr>
          <w:rFonts w:hint="eastAsia"/>
        </w:rPr>
        <w:t>数字影院沉浸式音频处理器各通道的声像调整、压限处理、延迟、均衡控制等功能处于关闭或旁通状态；</w:t>
      </w:r>
    </w:p>
    <w:p w14:paraId="113A7A5D">
      <w:pPr>
        <w:pStyle w:val="135"/>
      </w:pPr>
      <w:r>
        <w:rPr>
          <w:rFonts w:hint="eastAsia"/>
        </w:rPr>
        <w:t>选取AES/EBU接口（符合GY/T 158—2000，XLR平衡接口）为测量输入接口；</w:t>
      </w:r>
    </w:p>
    <w:p w14:paraId="0B74F809">
      <w:pPr>
        <w:pStyle w:val="135"/>
      </w:pPr>
      <w:r>
        <w:rPr>
          <w:rFonts w:hint="eastAsia"/>
        </w:rPr>
        <w:t>选取模拟音频信号接口（XLR平衡接口）为测量输出接口；</w:t>
      </w:r>
    </w:p>
    <w:p w14:paraId="215C383B">
      <w:pPr>
        <w:pStyle w:val="135"/>
      </w:pPr>
      <w:r>
        <w:rPr>
          <w:rFonts w:hint="eastAsia"/>
        </w:rPr>
        <w:t>在测量时选取电平值为0</w:t>
      </w:r>
      <w:r>
        <w:t xml:space="preserve"> </w:t>
      </w:r>
      <w:r>
        <w:rPr>
          <w:rFonts w:hint="eastAsia"/>
        </w:rPr>
        <w:t>dBFS=24</w:t>
      </w:r>
      <w:r>
        <w:t xml:space="preserve"> </w:t>
      </w:r>
      <w:r>
        <w:rPr>
          <w:rFonts w:hint="eastAsia"/>
        </w:rPr>
        <w:t>dBu为满度测量电平，-20 dBFS为基准测量电平；</w:t>
      </w:r>
    </w:p>
    <w:p w14:paraId="69E5E36E">
      <w:pPr>
        <w:pStyle w:val="135"/>
      </w:pPr>
      <w:r>
        <w:rPr>
          <w:rFonts w:hint="eastAsia"/>
        </w:rPr>
        <w:t>数字输入端输入基准测量电平，调节电平控制器，使输出端电平为+4</w:t>
      </w:r>
      <w:r>
        <w:t xml:space="preserve"> </w:t>
      </w:r>
      <w:r>
        <w:rPr>
          <w:rFonts w:hint="eastAsia"/>
        </w:rPr>
        <w:t>dBu,如果输出电平达不到要求，电平应调节到最大值，此状态为标准测量状态；</w:t>
      </w:r>
    </w:p>
    <w:p w14:paraId="3352F56A">
      <w:pPr>
        <w:pStyle w:val="135"/>
      </w:pPr>
      <w:r>
        <w:rPr>
          <w:rFonts w:hint="eastAsia"/>
        </w:rPr>
        <w:t>对于数字域的测量，信号测试仪的输入阻抗、信号发生器的输出阻抗设置为平衡110</w:t>
      </w:r>
      <w:r>
        <w:t xml:space="preserve"> </w:t>
      </w:r>
      <w:r>
        <w:rPr>
          <w:rFonts w:hint="eastAsia"/>
        </w:rPr>
        <w:t>Ω。</w:t>
      </w:r>
    </w:p>
    <w:p w14:paraId="109DA00E">
      <w:pPr>
        <w:pStyle w:val="108"/>
        <w:spacing w:before="156" w:after="156"/>
      </w:pPr>
      <w:bookmarkStart w:id="106" w:name="_Toc510956804"/>
      <w:bookmarkStart w:id="107" w:name="_Toc505682193"/>
      <w:bookmarkStart w:id="108" w:name="_Toc54597430"/>
      <w:bookmarkStart w:id="109" w:name="_Toc203577738"/>
      <w:r>
        <w:rPr>
          <w:rFonts w:hint="eastAsia"/>
        </w:rPr>
        <w:t>测量步骤</w:t>
      </w:r>
    </w:p>
    <w:p w14:paraId="0A11E393">
      <w:pPr>
        <w:pStyle w:val="68"/>
        <w:spacing w:before="156" w:after="156"/>
      </w:pPr>
      <w:r>
        <w:rPr>
          <w:rFonts w:hint="eastAsia"/>
        </w:rPr>
        <w:t>基本功能</w:t>
      </w:r>
      <w:bookmarkEnd w:id="106"/>
      <w:bookmarkEnd w:id="107"/>
      <w:bookmarkEnd w:id="108"/>
      <w:bookmarkEnd w:id="109"/>
    </w:p>
    <w:p w14:paraId="6B543180">
      <w:pPr>
        <w:pStyle w:val="97"/>
        <w:spacing w:before="156" w:after="156"/>
      </w:pPr>
      <w:r>
        <w:rPr>
          <w:rFonts w:hint="eastAsia"/>
        </w:rPr>
        <w:t>信号发生</w:t>
      </w:r>
    </w:p>
    <w:p w14:paraId="17FBF70F">
      <w:pPr>
        <w:pStyle w:val="59"/>
        <w:ind w:firstLine="420"/>
      </w:pPr>
      <w:r>
        <w:rPr>
          <w:rFonts w:hint="eastAsia"/>
        </w:rPr>
        <w:t>信号发生功能的测量步骤如下：</w:t>
      </w:r>
    </w:p>
    <w:p w14:paraId="3841C228">
      <w:pPr>
        <w:pStyle w:val="177"/>
      </w:pPr>
      <w:r>
        <w:rPr>
          <w:rFonts w:hint="eastAsia"/>
        </w:rPr>
        <w:t>被测设备置于标准测量状态；</w:t>
      </w:r>
    </w:p>
    <w:p w14:paraId="4DC24BDA">
      <w:pPr>
        <w:pStyle w:val="177"/>
      </w:pPr>
      <w:bookmarkStart w:id="110" w:name="OLE_LINK27"/>
      <w:bookmarkStart w:id="111" w:name="OLE_LINK13"/>
      <w:r>
        <w:rPr>
          <w:rFonts w:hint="eastAsia"/>
        </w:rPr>
        <w:t>被测设备信号发生器</w:t>
      </w:r>
      <w:bookmarkStart w:id="112" w:name="OLE_LINK12"/>
      <w:r>
        <w:rPr>
          <w:rFonts w:hint="eastAsia"/>
        </w:rPr>
        <w:t>依次</w:t>
      </w:r>
      <w:bookmarkEnd w:id="110"/>
      <w:r>
        <w:rPr>
          <w:rFonts w:hint="eastAsia"/>
        </w:rPr>
        <w:t>向各输出通道播放粉红噪声信号，核查是否能够正常</w:t>
      </w:r>
      <w:bookmarkEnd w:id="112"/>
      <w:r>
        <w:rPr>
          <w:rFonts w:hint="eastAsia"/>
        </w:rPr>
        <w:t>工作；</w:t>
      </w:r>
    </w:p>
    <w:bookmarkEnd w:id="111"/>
    <w:p w14:paraId="31E4C370">
      <w:pPr>
        <w:pStyle w:val="177"/>
      </w:pPr>
      <w:r>
        <w:rPr>
          <w:rFonts w:hint="eastAsia"/>
        </w:rPr>
        <w:t>被测设备信号发生器依次向各输出通道播放正弦波信号，核查是否能够正常工作。</w:t>
      </w:r>
    </w:p>
    <w:p w14:paraId="302A5FFA">
      <w:pPr>
        <w:pStyle w:val="97"/>
        <w:spacing w:before="156" w:after="156"/>
      </w:pPr>
      <w:r>
        <w:rPr>
          <w:rFonts w:hint="eastAsia"/>
        </w:rPr>
        <w:t>输入接口</w:t>
      </w:r>
    </w:p>
    <w:p w14:paraId="64B0CDD0">
      <w:pPr>
        <w:pStyle w:val="59"/>
        <w:ind w:firstLine="420"/>
      </w:pPr>
      <w:r>
        <w:rPr>
          <w:rFonts w:hint="eastAsia"/>
        </w:rPr>
        <w:t>输入接口的测量步骤如下：</w:t>
      </w:r>
    </w:p>
    <w:p w14:paraId="6DD49627">
      <w:pPr>
        <w:pStyle w:val="177"/>
        <w:numPr>
          <w:ilvl w:val="0"/>
          <w:numId w:val="34"/>
        </w:numPr>
      </w:pPr>
      <w:r>
        <w:rPr>
          <w:rFonts w:hint="eastAsia"/>
        </w:rPr>
        <w:t>被测设备置于标准测量状态；</w:t>
      </w:r>
    </w:p>
    <w:p w14:paraId="0F913E19">
      <w:pPr>
        <w:pStyle w:val="177"/>
        <w:numPr>
          <w:ilvl w:val="0"/>
          <w:numId w:val="34"/>
        </w:numPr>
      </w:pPr>
      <w:r>
        <w:rPr>
          <w:rFonts w:hint="eastAsia"/>
        </w:rPr>
        <w:t>数字影院集成媒体模块</w:t>
      </w:r>
      <w:r>
        <w:t>AES/EBU</w:t>
      </w:r>
      <w:r>
        <w:rPr>
          <w:rFonts w:hint="eastAsia"/>
        </w:rPr>
        <w:t>输出接口与被测设备</w:t>
      </w:r>
      <w:r>
        <w:t>AES/EBU</w:t>
      </w:r>
      <w:r>
        <w:rPr>
          <w:rFonts w:hint="eastAsia"/>
        </w:rPr>
        <w:t>输入接口正常</w:t>
      </w:r>
      <w:bookmarkStart w:id="113" w:name="OLE_LINK14"/>
      <w:r>
        <w:rPr>
          <w:rFonts w:hint="eastAsia"/>
        </w:rPr>
        <w:t>连接</w:t>
      </w:r>
      <w:bookmarkEnd w:id="113"/>
      <w:r>
        <w:rPr>
          <w:rFonts w:hint="eastAsia"/>
        </w:rPr>
        <w:t>；</w:t>
      </w:r>
    </w:p>
    <w:p w14:paraId="5207F629">
      <w:pPr>
        <w:pStyle w:val="177"/>
      </w:pPr>
      <w:r>
        <w:rPr>
          <w:rFonts w:hint="eastAsia"/>
        </w:rPr>
        <w:t>数字影院集成媒体模块沉浸式音频输出接口与被测设备沉浸式音频输入接口正常连接；</w:t>
      </w:r>
    </w:p>
    <w:p w14:paraId="167B5BC3">
      <w:pPr>
        <w:pStyle w:val="177"/>
      </w:pPr>
      <w:r>
        <w:rPr>
          <w:rFonts w:hint="eastAsia"/>
        </w:rPr>
        <w:t>数字影院集成媒体模块与沉浸式音频处理器之间的通信，使用HTTP传输协议配置，核查被测设备是否能够正常通信；</w:t>
      </w:r>
    </w:p>
    <w:p w14:paraId="157C0BA7">
      <w:pPr>
        <w:pStyle w:val="177"/>
      </w:pPr>
      <w:r>
        <w:rPr>
          <w:rFonts w:hint="eastAsia"/>
        </w:rPr>
        <w:t>数字影院集成媒体模块播放AES/EBU声道测量信号，核查被测设备各通道顺序是否正确，各通道是否能够正常稳定工作；</w:t>
      </w:r>
    </w:p>
    <w:p w14:paraId="52D7C7E7">
      <w:pPr>
        <w:pStyle w:val="177"/>
      </w:pPr>
      <w:r>
        <w:rPr>
          <w:rFonts w:hint="eastAsia"/>
        </w:rPr>
        <w:t>数字影院集成媒体模块播放沉浸式音频测量信号，核查</w:t>
      </w:r>
      <w:bookmarkStart w:id="114" w:name="OLE_LINK18"/>
      <w:r>
        <w:rPr>
          <w:rFonts w:hint="eastAsia"/>
        </w:rPr>
        <w:t>被测设备是否能够正常稳定工作。</w:t>
      </w:r>
      <w:bookmarkEnd w:id="114"/>
    </w:p>
    <w:p w14:paraId="3B1CD8A3">
      <w:pPr>
        <w:pStyle w:val="97"/>
        <w:spacing w:before="156" w:after="156"/>
      </w:pPr>
      <w:r>
        <w:rPr>
          <w:rFonts w:hint="eastAsia"/>
        </w:rPr>
        <w:t>输出接口</w:t>
      </w:r>
    </w:p>
    <w:p w14:paraId="5CAFB862">
      <w:pPr>
        <w:pStyle w:val="59"/>
        <w:ind w:firstLine="420"/>
      </w:pPr>
      <w:r>
        <w:rPr>
          <w:rFonts w:hint="eastAsia"/>
        </w:rPr>
        <w:t>输出接口测量步骤如下：</w:t>
      </w:r>
    </w:p>
    <w:p w14:paraId="5C417944">
      <w:pPr>
        <w:pStyle w:val="177"/>
        <w:numPr>
          <w:ilvl w:val="0"/>
          <w:numId w:val="35"/>
        </w:numPr>
      </w:pPr>
      <w:r>
        <w:rPr>
          <w:rFonts w:hint="eastAsia"/>
        </w:rPr>
        <w:t>被测设备置于标准测量状态；</w:t>
      </w:r>
    </w:p>
    <w:p w14:paraId="56D61499">
      <w:pPr>
        <w:pStyle w:val="177"/>
        <w:numPr>
          <w:ilvl w:val="0"/>
          <w:numId w:val="35"/>
        </w:numPr>
      </w:pPr>
      <w:r>
        <w:rPr>
          <w:rFonts w:hint="eastAsia"/>
        </w:rPr>
        <w:t>被测设备信号发生器依次向各输出通道播放粉红噪声信号，核查被测设备是否能够正常</w:t>
      </w:r>
      <w:bookmarkStart w:id="115" w:name="OLE_LINK29"/>
      <w:r>
        <w:rPr>
          <w:rFonts w:hint="eastAsia"/>
        </w:rPr>
        <w:t>工作</w:t>
      </w:r>
      <w:bookmarkEnd w:id="115"/>
      <w:r>
        <w:rPr>
          <w:rFonts w:hint="eastAsia"/>
        </w:rPr>
        <w:t>；</w:t>
      </w:r>
    </w:p>
    <w:p w14:paraId="6DE104D3">
      <w:pPr>
        <w:pStyle w:val="177"/>
        <w:numPr>
          <w:ilvl w:val="0"/>
          <w:numId w:val="35"/>
        </w:numPr>
      </w:pPr>
      <w:r>
        <w:rPr>
          <w:rFonts w:hint="eastAsia"/>
        </w:rPr>
        <w:t>记录能够正常发生的通道数；</w:t>
      </w:r>
    </w:p>
    <w:p w14:paraId="6C830B49">
      <w:pPr>
        <w:pStyle w:val="177"/>
        <w:numPr>
          <w:ilvl w:val="0"/>
          <w:numId w:val="35"/>
        </w:numPr>
      </w:pPr>
      <w:bookmarkStart w:id="116" w:name="OLE_LINK21"/>
      <w:r>
        <w:rPr>
          <w:rFonts w:hint="eastAsia"/>
        </w:rPr>
        <w:t>被测设备AES/EBU数字音频接口任一输入端输入频率为20</w:t>
      </w:r>
      <w:r>
        <w:t xml:space="preserve"> </w:t>
      </w:r>
      <w:r>
        <w:rPr>
          <w:rFonts w:hint="eastAsia"/>
        </w:rPr>
        <w:t>Hz～20</w:t>
      </w:r>
      <w:r>
        <w:t xml:space="preserve"> k</w:t>
      </w:r>
      <w:r>
        <w:rPr>
          <w:rFonts w:hint="eastAsia"/>
        </w:rPr>
        <w:t>Hz、基准测量电平的正弦波测量信号；</w:t>
      </w:r>
    </w:p>
    <w:p w14:paraId="7A54DA70">
      <w:pPr>
        <w:pStyle w:val="177"/>
        <w:numPr>
          <w:ilvl w:val="0"/>
          <w:numId w:val="35"/>
        </w:numPr>
      </w:pPr>
      <w:r>
        <w:rPr>
          <w:rFonts w:hint="eastAsia"/>
        </w:rPr>
        <w:t>将该输入通道信号依次路由到全部输出通道，核查被测设备是否能够正常工作；</w:t>
      </w:r>
    </w:p>
    <w:bookmarkEnd w:id="116"/>
    <w:p w14:paraId="244D02AF">
      <w:pPr>
        <w:pStyle w:val="177"/>
        <w:numPr>
          <w:ilvl w:val="0"/>
          <w:numId w:val="35"/>
        </w:numPr>
      </w:pPr>
      <w:r>
        <w:rPr>
          <w:rFonts w:hint="eastAsia"/>
        </w:rPr>
        <w:t>音频信号测试仪向被测设备非同步信号输入接口输入频率为20</w:t>
      </w:r>
      <w:r>
        <w:t xml:space="preserve"> </w:t>
      </w:r>
      <w:r>
        <w:rPr>
          <w:rFonts w:hint="eastAsia"/>
        </w:rPr>
        <w:t>Hz～20</w:t>
      </w:r>
      <w:r>
        <w:t xml:space="preserve"> k</w:t>
      </w:r>
      <w:r>
        <w:rPr>
          <w:rFonts w:hint="eastAsia"/>
        </w:rPr>
        <w:t>Hz、基准测量电平的正弦波测量信号，核查非同步音频输出接口是否能够正常工作。</w:t>
      </w:r>
    </w:p>
    <w:p w14:paraId="396CC120">
      <w:pPr>
        <w:pStyle w:val="97"/>
        <w:spacing w:before="156" w:after="156"/>
      </w:pPr>
      <w:r>
        <w:rPr>
          <w:rFonts w:hint="eastAsia"/>
        </w:rPr>
        <w:t>解码</w:t>
      </w:r>
    </w:p>
    <w:p w14:paraId="1C39C264">
      <w:pPr>
        <w:pStyle w:val="59"/>
        <w:ind w:firstLine="420"/>
      </w:pPr>
      <w:r>
        <w:rPr>
          <w:rFonts w:hint="eastAsia"/>
        </w:rPr>
        <w:t>解码测量步骤如下：</w:t>
      </w:r>
    </w:p>
    <w:p w14:paraId="6EE34107">
      <w:pPr>
        <w:pStyle w:val="177"/>
        <w:numPr>
          <w:ilvl w:val="0"/>
          <w:numId w:val="36"/>
        </w:numPr>
      </w:pPr>
      <w:r>
        <w:rPr>
          <w:rFonts w:hint="eastAsia"/>
        </w:rPr>
        <w:t>被测设备置于标准测量状态；</w:t>
      </w:r>
    </w:p>
    <w:p w14:paraId="1F42AD6B">
      <w:pPr>
        <w:pStyle w:val="177"/>
        <w:numPr>
          <w:ilvl w:val="0"/>
          <w:numId w:val="36"/>
        </w:numPr>
      </w:pPr>
      <w:r>
        <w:rPr>
          <w:rFonts w:hint="eastAsia"/>
        </w:rPr>
        <w:t>数字影院集成媒体模块</w:t>
      </w:r>
      <w:r>
        <w:t>AES/EBU</w:t>
      </w:r>
      <w:r>
        <w:rPr>
          <w:rFonts w:hint="eastAsia"/>
        </w:rPr>
        <w:t>输出接口与被测设备</w:t>
      </w:r>
      <w:r>
        <w:t>AES/EBU</w:t>
      </w:r>
      <w:r>
        <w:rPr>
          <w:rFonts w:hint="eastAsia"/>
        </w:rPr>
        <w:t>输入接口正常连接；</w:t>
      </w:r>
    </w:p>
    <w:p w14:paraId="5C03AFB8">
      <w:pPr>
        <w:pStyle w:val="177"/>
        <w:numPr>
          <w:ilvl w:val="0"/>
          <w:numId w:val="36"/>
        </w:numPr>
      </w:pPr>
      <w:r>
        <w:rPr>
          <w:rFonts w:hint="eastAsia"/>
        </w:rPr>
        <w:t>数字影院集成媒体模块沉浸式音频输出接口与</w:t>
      </w:r>
      <w:bookmarkStart w:id="117" w:name="OLE_LINK15"/>
      <w:r>
        <w:rPr>
          <w:rFonts w:hint="eastAsia"/>
        </w:rPr>
        <w:t>被测设备</w:t>
      </w:r>
      <w:bookmarkEnd w:id="117"/>
      <w:r>
        <w:rPr>
          <w:rFonts w:hint="eastAsia"/>
        </w:rPr>
        <w:t>沉浸式音频输入接口正常连接；</w:t>
      </w:r>
    </w:p>
    <w:p w14:paraId="14791B7C">
      <w:pPr>
        <w:pStyle w:val="177"/>
        <w:numPr>
          <w:ilvl w:val="0"/>
          <w:numId w:val="36"/>
        </w:numPr>
      </w:pPr>
      <w:r>
        <w:rPr>
          <w:rFonts w:hint="eastAsia"/>
        </w:rPr>
        <w:t>被测设备与还音系统正常连接，集成媒体模块播放沉浸式音频测量信号；</w:t>
      </w:r>
    </w:p>
    <w:p w14:paraId="05201E45">
      <w:pPr>
        <w:pStyle w:val="177"/>
        <w:numPr>
          <w:ilvl w:val="0"/>
          <w:numId w:val="36"/>
        </w:numPr>
        <w:rPr>
          <w:kern w:val="2"/>
          <w:szCs w:val="21"/>
        </w:rPr>
      </w:pPr>
      <w:r>
        <w:rPr>
          <w:rFonts w:hint="eastAsia" w:hAnsi="宋体"/>
        </w:rPr>
        <w:t>测量人员在距离银幕（或</w:t>
      </w:r>
      <w:r>
        <w:rPr>
          <w:rFonts w:hint="eastAsia" w:cs="Calibri"/>
        </w:rPr>
        <w:t>LED</w:t>
      </w:r>
      <w:r>
        <w:rPr>
          <w:rFonts w:hint="eastAsia" w:hAnsi="宋体"/>
        </w:rPr>
        <w:t>屏）为影厅长度为</w:t>
      </w:r>
      <w:r>
        <w:rPr>
          <w:rFonts w:hint="eastAsia" w:cs="Calibri"/>
        </w:rPr>
        <w:t>2/3</w:t>
      </w:r>
      <w:r>
        <w:rPr>
          <w:rFonts w:hint="eastAsia" w:hAnsi="宋体"/>
        </w:rPr>
        <w:t>处，偏离影厅中间</w:t>
      </w:r>
      <w:r>
        <w:rPr>
          <w:rFonts w:hint="eastAsia" w:cs="Calibri"/>
        </w:rPr>
        <w:t>1</w:t>
      </w:r>
      <w:r>
        <w:rPr>
          <w:rFonts w:hint="eastAsia" w:hAnsi="宋体"/>
        </w:rPr>
        <w:t>个座位区位置处</w:t>
      </w:r>
      <w:r>
        <w:rPr>
          <w:rFonts w:hint="eastAsia"/>
        </w:rPr>
        <w:t>，核查被测设备是否能正确解码和同步信号解析。</w:t>
      </w:r>
    </w:p>
    <w:p w14:paraId="3C35F5B6">
      <w:pPr>
        <w:pStyle w:val="97"/>
        <w:spacing w:before="156" w:after="156"/>
      </w:pPr>
      <w:r>
        <w:rPr>
          <w:rFonts w:hint="eastAsia"/>
        </w:rPr>
        <w:t>渲染</w:t>
      </w:r>
    </w:p>
    <w:p w14:paraId="7D202D3E">
      <w:pPr>
        <w:pStyle w:val="59"/>
        <w:ind w:firstLine="420"/>
      </w:pPr>
      <w:r>
        <w:rPr>
          <w:rFonts w:hint="eastAsia"/>
        </w:rPr>
        <w:t>渲染测量步骤如下：</w:t>
      </w:r>
    </w:p>
    <w:p w14:paraId="56749377">
      <w:pPr>
        <w:pStyle w:val="177"/>
        <w:numPr>
          <w:ilvl w:val="0"/>
          <w:numId w:val="37"/>
        </w:numPr>
      </w:pPr>
      <w:r>
        <w:rPr>
          <w:rFonts w:hint="eastAsia"/>
        </w:rPr>
        <w:t>被测设备置于标准测量状态；</w:t>
      </w:r>
    </w:p>
    <w:p w14:paraId="514A2474">
      <w:pPr>
        <w:pStyle w:val="177"/>
        <w:numPr>
          <w:ilvl w:val="0"/>
          <w:numId w:val="37"/>
        </w:numPr>
      </w:pPr>
      <w:bookmarkStart w:id="118" w:name="OLE_LINK30"/>
      <w:r>
        <w:rPr>
          <w:rFonts w:hint="eastAsia"/>
        </w:rPr>
        <w:t>数字影院集成媒体模块</w:t>
      </w:r>
      <w:bookmarkEnd w:id="118"/>
      <w:r>
        <w:t>AES/EBU</w:t>
      </w:r>
      <w:r>
        <w:rPr>
          <w:rFonts w:hint="eastAsia"/>
        </w:rPr>
        <w:t>输出接口与被测设备</w:t>
      </w:r>
      <w:r>
        <w:t>AES/EBU</w:t>
      </w:r>
      <w:r>
        <w:rPr>
          <w:rFonts w:hint="eastAsia"/>
        </w:rPr>
        <w:t>输入接口正常连接；</w:t>
      </w:r>
    </w:p>
    <w:p w14:paraId="24656962">
      <w:pPr>
        <w:pStyle w:val="177"/>
        <w:numPr>
          <w:ilvl w:val="0"/>
          <w:numId w:val="37"/>
        </w:numPr>
      </w:pPr>
      <w:r>
        <w:rPr>
          <w:rFonts w:hint="eastAsia"/>
        </w:rPr>
        <w:t>数字影院集成媒体模块沉浸式音频输出接口与被测设备沉浸式音频输入接口正常连接；</w:t>
      </w:r>
    </w:p>
    <w:p w14:paraId="61889603">
      <w:pPr>
        <w:pStyle w:val="177"/>
        <w:numPr>
          <w:ilvl w:val="0"/>
          <w:numId w:val="37"/>
        </w:numPr>
      </w:pPr>
      <w:r>
        <w:rPr>
          <w:rFonts w:hint="eastAsia"/>
        </w:rPr>
        <w:t>被测设备与还音系统正常连接，</w:t>
      </w:r>
      <w:bookmarkStart w:id="119" w:name="OLE_LINK9"/>
      <w:r>
        <w:rPr>
          <w:rFonts w:hint="eastAsia"/>
        </w:rPr>
        <w:t>测量人员坐在距离银幕（或LED屏）为影厅长度为2/3处，偏离影厅中间1个座位区位置处。</w:t>
      </w:r>
    </w:p>
    <w:bookmarkEnd w:id="119"/>
    <w:p w14:paraId="4FEFE0E2">
      <w:pPr>
        <w:pStyle w:val="177"/>
        <w:numPr>
          <w:ilvl w:val="0"/>
          <w:numId w:val="37"/>
        </w:numPr>
      </w:pPr>
      <w:r>
        <w:rPr>
          <w:rFonts w:hint="eastAsia"/>
        </w:rPr>
        <w:t>数字影院集成媒体模块播放沉浸式音频7.1声床测量信号，核查被测设备声床输出轨道顺序是否正确；</w:t>
      </w:r>
    </w:p>
    <w:p w14:paraId="4093183E">
      <w:pPr>
        <w:pStyle w:val="177"/>
        <w:numPr>
          <w:ilvl w:val="0"/>
          <w:numId w:val="37"/>
        </w:numPr>
      </w:pPr>
      <w:r>
        <w:rPr>
          <w:rFonts w:hint="eastAsia"/>
        </w:rPr>
        <w:t>数字影院集成媒体模块播放沉浸式音频9.1声床测量信号，核查被测设备声床输出轨道顺序是否正确；</w:t>
      </w:r>
    </w:p>
    <w:p w14:paraId="6615C9B4">
      <w:pPr>
        <w:pStyle w:val="177"/>
        <w:numPr>
          <w:ilvl w:val="0"/>
          <w:numId w:val="37"/>
        </w:numPr>
      </w:pPr>
      <w:r>
        <w:rPr>
          <w:rFonts w:hint="eastAsia"/>
        </w:rPr>
        <w:t>数字影院集成媒体模块播放沉浸式音频对象元数据位置测量信号，核查被测设备对象位置渲染是否正确；</w:t>
      </w:r>
    </w:p>
    <w:p w14:paraId="6CE7EDA8">
      <w:pPr>
        <w:pStyle w:val="177"/>
        <w:numPr>
          <w:ilvl w:val="0"/>
          <w:numId w:val="37"/>
        </w:numPr>
      </w:pPr>
      <w:r>
        <w:rPr>
          <w:rFonts w:hint="eastAsia"/>
        </w:rPr>
        <w:t>数字影院集成媒体模块播放沉浸式音频对象增益元数据测量信号，核查被测设备对象增益渲染是否正确。</w:t>
      </w:r>
    </w:p>
    <w:p w14:paraId="18953C1F">
      <w:pPr>
        <w:pStyle w:val="97"/>
        <w:spacing w:before="156" w:after="156"/>
      </w:pPr>
      <w:r>
        <w:rPr>
          <w:rFonts w:hint="eastAsia"/>
        </w:rPr>
        <w:t>渲染输出通道</w:t>
      </w:r>
    </w:p>
    <w:p w14:paraId="30302EEE">
      <w:pPr>
        <w:pStyle w:val="59"/>
        <w:ind w:firstLine="420"/>
      </w:pPr>
      <w:r>
        <w:rPr>
          <w:rFonts w:hint="eastAsia"/>
        </w:rPr>
        <w:t>渲染输出通道测量步骤如下：</w:t>
      </w:r>
    </w:p>
    <w:p w14:paraId="438526BE">
      <w:pPr>
        <w:pStyle w:val="177"/>
        <w:numPr>
          <w:ilvl w:val="0"/>
          <w:numId w:val="38"/>
        </w:numPr>
      </w:pPr>
      <w:r>
        <w:rPr>
          <w:rFonts w:hint="eastAsia"/>
        </w:rPr>
        <w:t>被测设备置于标准测量状态；</w:t>
      </w:r>
    </w:p>
    <w:p w14:paraId="662C2F66">
      <w:pPr>
        <w:pStyle w:val="177"/>
        <w:numPr>
          <w:ilvl w:val="0"/>
          <w:numId w:val="38"/>
        </w:numPr>
      </w:pPr>
      <w:r>
        <w:rPr>
          <w:rFonts w:hint="eastAsia"/>
        </w:rPr>
        <w:t>被测设备依次向各输出通道播放正弦波测量信号，调节相应通道的增益调节按钮；</w:t>
      </w:r>
    </w:p>
    <w:p w14:paraId="482336DE">
      <w:pPr>
        <w:pStyle w:val="177"/>
        <w:numPr>
          <w:ilvl w:val="0"/>
          <w:numId w:val="38"/>
        </w:numPr>
      </w:pPr>
      <w:r>
        <w:rPr>
          <w:rFonts w:hint="eastAsia"/>
        </w:rPr>
        <w:t>使用音频信号测试仪，</w:t>
      </w:r>
      <w:bookmarkStart w:id="120" w:name="OLE_LINK19"/>
      <w:r>
        <w:rPr>
          <w:rFonts w:hint="eastAsia"/>
        </w:rPr>
        <w:t>核查被测设备各通道增益变化情况；</w:t>
      </w:r>
      <w:bookmarkEnd w:id="120"/>
    </w:p>
    <w:p w14:paraId="09FCC230">
      <w:pPr>
        <w:pStyle w:val="177"/>
        <w:numPr>
          <w:ilvl w:val="0"/>
          <w:numId w:val="38"/>
        </w:numPr>
      </w:pPr>
      <w:bookmarkStart w:id="121" w:name="OLE_LINK20"/>
      <w:r>
        <w:rPr>
          <w:rFonts w:hint="eastAsia"/>
        </w:rPr>
        <w:t>被测设备依次向各输出通道播放粉红噪声信号，调节相应通道的1/3倍频程均衡调节按钮；</w:t>
      </w:r>
    </w:p>
    <w:bookmarkEnd w:id="121"/>
    <w:p w14:paraId="40B24F41">
      <w:pPr>
        <w:pStyle w:val="177"/>
        <w:numPr>
          <w:ilvl w:val="0"/>
          <w:numId w:val="38"/>
        </w:numPr>
      </w:pPr>
      <w:r>
        <w:rPr>
          <w:rFonts w:hint="eastAsia"/>
        </w:rPr>
        <w:t>核查被测设备各通道相应倍频程增益调节变化情况；</w:t>
      </w:r>
    </w:p>
    <w:p w14:paraId="139743B6">
      <w:pPr>
        <w:pStyle w:val="177"/>
        <w:numPr>
          <w:ilvl w:val="0"/>
          <w:numId w:val="38"/>
        </w:numPr>
      </w:pPr>
      <w:r>
        <w:rPr>
          <w:rFonts w:hint="eastAsia"/>
        </w:rPr>
        <w:t>数字影院集成媒体模块</w:t>
      </w:r>
      <w:r>
        <w:t>AES/EBU</w:t>
      </w:r>
      <w:r>
        <w:rPr>
          <w:rFonts w:hint="eastAsia"/>
        </w:rPr>
        <w:t>输出接口与被测设备</w:t>
      </w:r>
      <w:r>
        <w:t>AES/EBU</w:t>
      </w:r>
      <w:r>
        <w:rPr>
          <w:rFonts w:hint="eastAsia"/>
        </w:rPr>
        <w:t>输入接口正常连接；</w:t>
      </w:r>
    </w:p>
    <w:p w14:paraId="2D0D6174">
      <w:pPr>
        <w:pStyle w:val="177"/>
        <w:numPr>
          <w:ilvl w:val="0"/>
          <w:numId w:val="38"/>
        </w:numPr>
      </w:pPr>
      <w:r>
        <w:rPr>
          <w:rFonts w:hint="eastAsia"/>
        </w:rPr>
        <w:t>集成媒体模块沉浸式音频输出接口与被测设备沉浸式音频输入接口正常连接；</w:t>
      </w:r>
    </w:p>
    <w:p w14:paraId="75606BCA">
      <w:pPr>
        <w:pStyle w:val="177"/>
        <w:numPr>
          <w:ilvl w:val="0"/>
          <w:numId w:val="38"/>
        </w:numPr>
      </w:pPr>
      <w:r>
        <w:rPr>
          <w:rFonts w:hint="eastAsia"/>
        </w:rPr>
        <w:t>集成媒体模块播放声床通道延时测量信号，调节通道的延时调节按钮，核查被测设备各声道延时变化情况。</w:t>
      </w:r>
    </w:p>
    <w:p w14:paraId="0F141D9F">
      <w:pPr>
        <w:pStyle w:val="68"/>
        <w:spacing w:before="156" w:after="156"/>
      </w:pPr>
      <w:bookmarkStart w:id="122" w:name="_Toc203577739"/>
      <w:r>
        <w:rPr>
          <w:rFonts w:hint="eastAsia"/>
        </w:rPr>
        <w:t>音频通路（数字进/模拟出）</w:t>
      </w:r>
      <w:bookmarkEnd w:id="122"/>
    </w:p>
    <w:p w14:paraId="11C10C58">
      <w:pPr>
        <w:pStyle w:val="97"/>
        <w:spacing w:before="156" w:after="156"/>
      </w:pPr>
      <w:r>
        <w:rPr>
          <w:rFonts w:hint="eastAsia"/>
        </w:rPr>
        <w:t>最大输出电平</w:t>
      </w:r>
    </w:p>
    <w:p w14:paraId="36034C8F">
      <w:pPr>
        <w:pStyle w:val="59"/>
        <w:ind w:firstLine="420"/>
      </w:pPr>
      <w:r>
        <w:rPr>
          <w:rFonts w:hint="eastAsia"/>
        </w:rPr>
        <w:t>最大输出电平测量步骤如下：</w:t>
      </w:r>
    </w:p>
    <w:p w14:paraId="379CD374">
      <w:pPr>
        <w:pStyle w:val="177"/>
        <w:numPr>
          <w:ilvl w:val="0"/>
          <w:numId w:val="39"/>
        </w:numPr>
      </w:pPr>
      <w:bookmarkStart w:id="123" w:name="OLE_LINK22"/>
      <w:r>
        <w:rPr>
          <w:rFonts w:hint="eastAsia"/>
        </w:rPr>
        <w:t>被测设备</w:t>
      </w:r>
      <w:bookmarkStart w:id="124" w:name="OLE_LINK23"/>
      <w:r>
        <w:rPr>
          <w:rFonts w:hint="eastAsia"/>
        </w:rPr>
        <w:t>AES/EBU数字音频接口任一输入端</w:t>
      </w:r>
      <w:bookmarkEnd w:id="123"/>
      <w:bookmarkEnd w:id="124"/>
      <w:r>
        <w:rPr>
          <w:rFonts w:hint="eastAsia"/>
        </w:rPr>
        <w:t>输入频率为997</w:t>
      </w:r>
      <w:r>
        <w:t xml:space="preserve"> </w:t>
      </w:r>
      <w:r>
        <w:rPr>
          <w:rFonts w:hint="eastAsia"/>
        </w:rPr>
        <w:t>Hz、满度测量电平的正弦波测量信号；</w:t>
      </w:r>
    </w:p>
    <w:p w14:paraId="1668EA40">
      <w:pPr>
        <w:pStyle w:val="177"/>
        <w:numPr>
          <w:ilvl w:val="0"/>
          <w:numId w:val="39"/>
        </w:numPr>
      </w:pPr>
      <w:bookmarkStart w:id="125" w:name="OLE_LINK10"/>
      <w:r>
        <w:rPr>
          <w:rFonts w:hint="eastAsia"/>
        </w:rPr>
        <w:t>音频信号测试仪</w:t>
      </w:r>
      <w:bookmarkEnd w:id="125"/>
      <w:r>
        <w:rPr>
          <w:rFonts w:hint="eastAsia"/>
        </w:rPr>
        <w:t>输入端添加20</w:t>
      </w:r>
      <w:r>
        <w:t xml:space="preserve"> </w:t>
      </w:r>
      <w:r>
        <w:rPr>
          <w:rFonts w:hint="eastAsia"/>
        </w:rPr>
        <w:t>Hz～20</w:t>
      </w:r>
      <w:r>
        <w:t xml:space="preserve"> k</w:t>
      </w:r>
      <w:r>
        <w:rPr>
          <w:rFonts w:hint="eastAsia"/>
        </w:rPr>
        <w:t>Hz带通滤波器；</w:t>
      </w:r>
    </w:p>
    <w:p w14:paraId="51EF5C4F">
      <w:pPr>
        <w:pStyle w:val="177"/>
        <w:numPr>
          <w:ilvl w:val="0"/>
          <w:numId w:val="39"/>
        </w:numPr>
      </w:pPr>
      <w:bookmarkStart w:id="126" w:name="OLE_LINK24"/>
      <w:r>
        <w:rPr>
          <w:rFonts w:hint="eastAsia"/>
        </w:rPr>
        <w:t>将该输入通道信号依次路由到全部输出通道，</w:t>
      </w:r>
      <w:bookmarkEnd w:id="126"/>
      <w:r>
        <w:rPr>
          <w:rFonts w:hint="eastAsia"/>
        </w:rPr>
        <w:t>依次调节被测设备的输出电平，使输出端信号总谐波失真加噪声值达到1%；</w:t>
      </w:r>
    </w:p>
    <w:p w14:paraId="66B53257">
      <w:pPr>
        <w:pStyle w:val="177"/>
        <w:numPr>
          <w:ilvl w:val="0"/>
          <w:numId w:val="39"/>
        </w:numPr>
      </w:pPr>
      <w:r>
        <w:rPr>
          <w:rFonts w:hint="eastAsia"/>
        </w:rPr>
        <w:t>依次记录输出端信号电平值，即为各通道的最大输出电平，单位（d</w:t>
      </w:r>
      <w:r>
        <w:t>Bu</w:t>
      </w:r>
      <w:r>
        <w:rPr>
          <w:rFonts w:hint="eastAsia"/>
        </w:rPr>
        <w:t>）；</w:t>
      </w:r>
    </w:p>
    <w:p w14:paraId="5059262C">
      <w:pPr>
        <w:pStyle w:val="177"/>
        <w:numPr>
          <w:ilvl w:val="0"/>
          <w:numId w:val="39"/>
        </w:numPr>
      </w:pPr>
      <w:r>
        <w:rPr>
          <w:rFonts w:hint="eastAsia"/>
        </w:rPr>
        <w:t>各通道最大输出电平的最小值为被测设备的最大输出电平。</w:t>
      </w:r>
    </w:p>
    <w:p w14:paraId="071A356A">
      <w:pPr>
        <w:pStyle w:val="97"/>
        <w:spacing w:before="156" w:after="156"/>
      </w:pPr>
      <w:bookmarkStart w:id="127" w:name="_Toc54597432"/>
      <w:bookmarkStart w:id="128" w:name="_Toc484879342"/>
      <w:bookmarkStart w:id="129" w:name="_Toc505682196"/>
      <w:bookmarkStart w:id="130" w:name="_Toc510956807"/>
      <w:bookmarkStart w:id="131" w:name="_Toc485020655"/>
      <w:r>
        <w:rPr>
          <w:rFonts w:hint="eastAsia"/>
        </w:rPr>
        <w:t>通道间增益差</w:t>
      </w:r>
      <w:bookmarkEnd w:id="127"/>
      <w:bookmarkEnd w:id="128"/>
      <w:bookmarkEnd w:id="129"/>
      <w:bookmarkEnd w:id="130"/>
      <w:bookmarkEnd w:id="131"/>
    </w:p>
    <w:p w14:paraId="137FC54E">
      <w:pPr>
        <w:pStyle w:val="233"/>
      </w:pPr>
      <w:r>
        <w:rPr>
          <w:rFonts w:hint="eastAsia"/>
        </w:rPr>
        <w:t>相邻通道间增益差的测量步骤如下：</w:t>
      </w:r>
    </w:p>
    <w:p w14:paraId="27C0F1BE">
      <w:pPr>
        <w:pStyle w:val="177"/>
        <w:numPr>
          <w:ilvl w:val="0"/>
          <w:numId w:val="40"/>
        </w:numPr>
      </w:pPr>
      <w:r>
        <w:rPr>
          <w:rFonts w:hint="eastAsia"/>
        </w:rPr>
        <w:t>被测设备置于标准测量状态；</w:t>
      </w:r>
    </w:p>
    <w:p w14:paraId="3006C68A">
      <w:pPr>
        <w:pStyle w:val="177"/>
        <w:numPr>
          <w:ilvl w:val="0"/>
          <w:numId w:val="40"/>
        </w:numPr>
      </w:pPr>
      <w:r>
        <w:rPr>
          <w:rFonts w:hint="eastAsia"/>
        </w:rPr>
        <w:t>被测设备AES/EBU数字音频接口任一输入端输入频率为20</w:t>
      </w:r>
      <w:r>
        <w:t xml:space="preserve"> </w:t>
      </w:r>
      <w:r>
        <w:rPr>
          <w:rFonts w:hint="eastAsia"/>
        </w:rPr>
        <w:t>Hz～20</w:t>
      </w:r>
      <w:r>
        <w:t xml:space="preserve"> k</w:t>
      </w:r>
      <w:r>
        <w:rPr>
          <w:rFonts w:hint="eastAsia"/>
        </w:rPr>
        <w:t>Hz、基准测量电平的正弦波测量信号；</w:t>
      </w:r>
    </w:p>
    <w:p w14:paraId="0EFB5EAC">
      <w:pPr>
        <w:pStyle w:val="177"/>
        <w:numPr>
          <w:ilvl w:val="0"/>
          <w:numId w:val="40"/>
        </w:numPr>
      </w:pPr>
      <w:r>
        <w:rPr>
          <w:rFonts w:hint="eastAsia"/>
        </w:rPr>
        <w:t>将该输入通道信号依次路由到所有输出通道，记录每个输出通道中各频率取样点下的输出端信号电平值，单位（d</w:t>
      </w:r>
      <w:r>
        <w:t>Bu</w:t>
      </w:r>
      <w:r>
        <w:rPr>
          <w:rFonts w:hint="eastAsia"/>
        </w:rPr>
        <w:t>）；</w:t>
      </w:r>
    </w:p>
    <w:p w14:paraId="5C6BAB59">
      <w:pPr>
        <w:pStyle w:val="177"/>
        <w:numPr>
          <w:ilvl w:val="0"/>
          <w:numId w:val="40"/>
        </w:numPr>
      </w:pPr>
      <w:r>
        <w:rPr>
          <w:rFonts w:hint="eastAsia"/>
        </w:rPr>
        <w:t>在各频率取样点处，选取所有通道中的最大电平值与最小电平值计算全部输出通道在该频率点的最大电平差值，单位（dB）</w:t>
      </w:r>
    </w:p>
    <w:p w14:paraId="29995E62">
      <w:pPr>
        <w:pStyle w:val="177"/>
        <w:numPr>
          <w:ilvl w:val="0"/>
          <w:numId w:val="40"/>
        </w:numPr>
      </w:pPr>
      <w:r>
        <w:rPr>
          <w:rFonts w:hint="eastAsia"/>
        </w:rPr>
        <w:t>取所有频点处的最大电平差中的最大值，即为通道间增益差,单位（d</w:t>
      </w:r>
      <w:r>
        <w:t>B</w:t>
      </w:r>
      <w:r>
        <w:rPr>
          <w:rFonts w:hint="eastAsia"/>
        </w:rPr>
        <w:t>）。</w:t>
      </w:r>
    </w:p>
    <w:p w14:paraId="7BC6A266">
      <w:pPr>
        <w:pStyle w:val="97"/>
        <w:spacing w:before="156" w:after="156"/>
      </w:pPr>
      <w:bookmarkStart w:id="132" w:name="_Toc505682197"/>
      <w:bookmarkStart w:id="133" w:name="_Toc484879343"/>
      <w:bookmarkStart w:id="134" w:name="_Toc485020656"/>
      <w:bookmarkStart w:id="135" w:name="_Toc510956808"/>
      <w:bookmarkStart w:id="136" w:name="_Toc54597433"/>
      <w:r>
        <w:rPr>
          <w:rFonts w:hint="eastAsia"/>
        </w:rPr>
        <w:t>幅频响应</w:t>
      </w:r>
      <w:bookmarkEnd w:id="132"/>
      <w:bookmarkEnd w:id="133"/>
      <w:bookmarkEnd w:id="134"/>
      <w:bookmarkEnd w:id="135"/>
      <w:bookmarkEnd w:id="136"/>
    </w:p>
    <w:p w14:paraId="0E512A3B">
      <w:pPr>
        <w:pStyle w:val="233"/>
      </w:pPr>
      <w:r>
        <w:rPr>
          <w:rFonts w:hint="eastAsia"/>
        </w:rPr>
        <w:t>幅频响应的测量步骤如下：</w:t>
      </w:r>
    </w:p>
    <w:p w14:paraId="5ACDC09F">
      <w:pPr>
        <w:pStyle w:val="177"/>
        <w:numPr>
          <w:ilvl w:val="0"/>
          <w:numId w:val="41"/>
        </w:numPr>
      </w:pPr>
      <w:r>
        <w:rPr>
          <w:rFonts w:hint="eastAsia"/>
        </w:rPr>
        <w:t>被测设备置于标准测量状态；</w:t>
      </w:r>
    </w:p>
    <w:p w14:paraId="22636D87">
      <w:pPr>
        <w:pStyle w:val="177"/>
        <w:numPr>
          <w:ilvl w:val="0"/>
          <w:numId w:val="41"/>
        </w:numPr>
      </w:pPr>
      <w:r>
        <w:rPr>
          <w:rFonts w:hint="eastAsia"/>
        </w:rPr>
        <w:t>被测设备AES/EBU数字音频接口任一输入端输入频率为20</w:t>
      </w:r>
      <w:r>
        <w:t xml:space="preserve"> </w:t>
      </w:r>
      <w:r>
        <w:rPr>
          <w:rFonts w:hint="eastAsia"/>
        </w:rPr>
        <w:t>Hz～20</w:t>
      </w:r>
      <w:r>
        <w:t xml:space="preserve"> k</w:t>
      </w:r>
      <w:r>
        <w:rPr>
          <w:rFonts w:hint="eastAsia"/>
        </w:rPr>
        <w:t>Hz、基准测量电平的正弦波测量信号；</w:t>
      </w:r>
    </w:p>
    <w:p w14:paraId="5B6D9EBF">
      <w:pPr>
        <w:pStyle w:val="177"/>
        <w:numPr>
          <w:ilvl w:val="0"/>
          <w:numId w:val="41"/>
        </w:numPr>
      </w:pPr>
      <w:r>
        <w:rPr>
          <w:rFonts w:hint="eastAsia"/>
        </w:rPr>
        <w:t>将该输入通道信号依次路由到全部输出通道，依次记录各频率取样点下的输出端信号电平值，单位（d</w:t>
      </w:r>
      <w:r>
        <w:t>Bu</w:t>
      </w:r>
      <w:r>
        <w:rPr>
          <w:rFonts w:hint="eastAsia"/>
        </w:rPr>
        <w:t>）；</w:t>
      </w:r>
    </w:p>
    <w:p w14:paraId="176FE2E6">
      <w:pPr>
        <w:pStyle w:val="177"/>
        <w:numPr>
          <w:ilvl w:val="0"/>
          <w:numId w:val="41"/>
        </w:numPr>
      </w:pPr>
      <w:r>
        <w:rPr>
          <w:rFonts w:hint="eastAsia"/>
        </w:rPr>
        <w:t>将记录下的信号电平值与997 Hz处的输出信号电平值相减，差值最大值即为该通道的幅频响应值，单位（dB）。</w:t>
      </w:r>
    </w:p>
    <w:p w14:paraId="3A605F68">
      <w:pPr>
        <w:pStyle w:val="97"/>
        <w:spacing w:before="156" w:after="156"/>
      </w:pPr>
      <w:bookmarkStart w:id="137" w:name="_Toc505682198"/>
      <w:bookmarkStart w:id="138" w:name="_Toc484879344"/>
      <w:bookmarkStart w:id="139" w:name="_Toc485020657"/>
      <w:bookmarkStart w:id="140" w:name="_Toc54597434"/>
      <w:bookmarkStart w:id="141" w:name="_Toc510956809"/>
      <w:r>
        <w:rPr>
          <w:rFonts w:hint="eastAsia"/>
        </w:rPr>
        <w:t>信噪比</w:t>
      </w:r>
      <w:bookmarkEnd w:id="137"/>
      <w:bookmarkEnd w:id="138"/>
      <w:bookmarkEnd w:id="139"/>
      <w:bookmarkEnd w:id="140"/>
      <w:bookmarkEnd w:id="141"/>
    </w:p>
    <w:p w14:paraId="1E38E80F">
      <w:pPr>
        <w:pStyle w:val="233"/>
      </w:pPr>
      <w:r>
        <w:rPr>
          <w:rFonts w:hint="eastAsia"/>
        </w:rPr>
        <w:t>信噪比的测量步骤如下：</w:t>
      </w:r>
    </w:p>
    <w:p w14:paraId="082B41AC">
      <w:pPr>
        <w:pStyle w:val="177"/>
        <w:numPr>
          <w:ilvl w:val="0"/>
          <w:numId w:val="42"/>
        </w:numPr>
      </w:pPr>
      <w:r>
        <w:rPr>
          <w:rFonts w:hint="eastAsia"/>
        </w:rPr>
        <w:t>被测设备</w:t>
      </w:r>
      <w:bookmarkStart w:id="142" w:name="OLE_LINK26"/>
      <w:r>
        <w:rPr>
          <w:rFonts w:hint="eastAsia"/>
        </w:rPr>
        <w:t>置于标准测量状态</w:t>
      </w:r>
      <w:bookmarkEnd w:id="142"/>
      <w:r>
        <w:rPr>
          <w:rFonts w:hint="eastAsia"/>
        </w:rPr>
        <w:t>；</w:t>
      </w:r>
    </w:p>
    <w:p w14:paraId="7E831C20">
      <w:pPr>
        <w:pStyle w:val="177"/>
        <w:numPr>
          <w:ilvl w:val="0"/>
          <w:numId w:val="42"/>
        </w:numPr>
      </w:pPr>
      <w:r>
        <w:rPr>
          <w:rFonts w:hint="eastAsia"/>
        </w:rPr>
        <w:t>音频信号测试仪输入端添加20</w:t>
      </w:r>
      <w:r>
        <w:t xml:space="preserve"> </w:t>
      </w:r>
      <w:r>
        <w:rPr>
          <w:rFonts w:hint="eastAsia"/>
        </w:rPr>
        <w:t>Hz～20</w:t>
      </w:r>
      <w:r>
        <w:t xml:space="preserve"> k</w:t>
      </w:r>
      <w:r>
        <w:rPr>
          <w:rFonts w:hint="eastAsia"/>
        </w:rPr>
        <w:t>Hz带通滤波器；</w:t>
      </w:r>
    </w:p>
    <w:p w14:paraId="06DB041F">
      <w:pPr>
        <w:pStyle w:val="177"/>
        <w:numPr>
          <w:ilvl w:val="0"/>
          <w:numId w:val="42"/>
        </w:numPr>
      </w:pPr>
      <w:r>
        <w:rPr>
          <w:rFonts w:hint="eastAsia"/>
        </w:rPr>
        <w:t>被测设备AES/EBU数字音频接口任一输入端输入频率为997</w:t>
      </w:r>
      <w:r>
        <w:t xml:space="preserve"> </w:t>
      </w:r>
      <w:r>
        <w:rPr>
          <w:rFonts w:hint="eastAsia"/>
        </w:rPr>
        <w:t>Hz、基准测量电平的正弦波测量信号，将该输入通道信号依次路由到全部输出通道，依次记录输出端信号电平值</w:t>
      </w:r>
      <w:r>
        <w:rPr>
          <w:rFonts w:hint="eastAsia"/>
          <w:i/>
          <w:iCs/>
        </w:rPr>
        <w:t>U</w:t>
      </w:r>
      <w:r>
        <w:rPr>
          <w:rFonts w:hint="eastAsia"/>
          <w:i/>
          <w:iCs/>
          <w:vertAlign w:val="subscript"/>
        </w:rPr>
        <w:t>1</w:t>
      </w:r>
      <w:r>
        <w:rPr>
          <w:rFonts w:hint="eastAsia"/>
        </w:rPr>
        <w:t>，单位（d</w:t>
      </w:r>
      <w:r>
        <w:t>B</w:t>
      </w:r>
      <w:r>
        <w:rPr>
          <w:rFonts w:hint="eastAsia"/>
        </w:rPr>
        <w:t>u）；</w:t>
      </w:r>
    </w:p>
    <w:p w14:paraId="1B39BC8E">
      <w:pPr>
        <w:pStyle w:val="177"/>
        <w:numPr>
          <w:ilvl w:val="0"/>
          <w:numId w:val="42"/>
        </w:numPr>
      </w:pPr>
      <w:r>
        <w:rPr>
          <w:rFonts w:hint="eastAsia"/>
        </w:rPr>
        <w:t>被测设备AES/EBU数字音频接口任一输入端输入频率为997</w:t>
      </w:r>
      <w:r>
        <w:t xml:space="preserve"> </w:t>
      </w:r>
      <w:r>
        <w:rPr>
          <w:rFonts w:hint="eastAsia"/>
        </w:rPr>
        <w:t>Hz、电平为0</w:t>
      </w:r>
      <w:r>
        <w:t xml:space="preserve"> </w:t>
      </w:r>
      <w:r>
        <w:rPr>
          <w:rFonts w:hint="eastAsia"/>
        </w:rPr>
        <w:t>fex的正弦波测量信号，将该输入通道信号依次路由到全部输出通道，依次记录输出端信号电平值</w:t>
      </w:r>
      <w:r>
        <w:rPr>
          <w:rFonts w:hint="eastAsia"/>
          <w:i/>
          <w:iCs/>
        </w:rPr>
        <w:t>U</w:t>
      </w:r>
      <w:r>
        <w:rPr>
          <w:rFonts w:hint="eastAsia"/>
          <w:i/>
          <w:iCs/>
          <w:vertAlign w:val="subscript"/>
        </w:rPr>
        <w:t>2</w:t>
      </w:r>
      <w:r>
        <w:rPr>
          <w:rFonts w:hint="eastAsia"/>
        </w:rPr>
        <w:t>，单位（d</w:t>
      </w:r>
      <w:r>
        <w:t>Bu</w:t>
      </w:r>
      <w:r>
        <w:rPr>
          <w:rFonts w:hint="eastAsia"/>
        </w:rPr>
        <w:t>）；</w:t>
      </w:r>
    </w:p>
    <w:p w14:paraId="11035C45">
      <w:pPr>
        <w:pStyle w:val="177"/>
        <w:numPr>
          <w:ilvl w:val="0"/>
          <w:numId w:val="42"/>
        </w:numPr>
      </w:pPr>
      <w:r>
        <w:rPr>
          <w:rFonts w:hint="eastAsia"/>
        </w:rPr>
        <w:t>各输出通道的信噪比</w:t>
      </w:r>
      <w:r>
        <w:rPr>
          <w:rFonts w:hint="eastAsia"/>
          <w:i/>
          <w:iCs/>
        </w:rPr>
        <w:t>S</w:t>
      </w:r>
      <w:r>
        <w:rPr>
          <w:i/>
          <w:iCs/>
        </w:rPr>
        <w:t>/N</w:t>
      </w:r>
      <w:r>
        <w:rPr>
          <w:rFonts w:hint="eastAsia"/>
        </w:rPr>
        <w:t>为</w:t>
      </w:r>
      <w:r>
        <w:rPr>
          <w:rFonts w:hint="eastAsia"/>
          <w:i/>
          <w:iCs/>
        </w:rPr>
        <w:t>U</w:t>
      </w:r>
      <w:r>
        <w:rPr>
          <w:rFonts w:hint="eastAsia"/>
          <w:i/>
          <w:iCs/>
          <w:vertAlign w:val="subscript"/>
        </w:rPr>
        <w:t>1</w:t>
      </w:r>
      <w:r>
        <w:rPr>
          <w:rFonts w:hint="eastAsia"/>
        </w:rPr>
        <w:t>与</w:t>
      </w:r>
      <w:r>
        <w:rPr>
          <w:rFonts w:hint="eastAsia"/>
          <w:i/>
          <w:iCs/>
        </w:rPr>
        <w:t>U</w:t>
      </w:r>
      <w:r>
        <w:rPr>
          <w:rFonts w:hint="eastAsia"/>
          <w:i/>
          <w:iCs/>
          <w:vertAlign w:val="subscript"/>
        </w:rPr>
        <w:t>2</w:t>
      </w:r>
      <w:r>
        <w:rPr>
          <w:rFonts w:hint="eastAsia"/>
        </w:rPr>
        <w:t>的差值，单位（d</w:t>
      </w:r>
      <w:r>
        <w:t>B</w:t>
      </w:r>
      <w:r>
        <w:rPr>
          <w:rFonts w:hint="eastAsia"/>
        </w:rPr>
        <w:t>）。</w:t>
      </w:r>
    </w:p>
    <w:p w14:paraId="48F77DE3">
      <w:pPr>
        <w:pStyle w:val="97"/>
        <w:spacing w:before="156" w:after="156"/>
      </w:pPr>
      <w:bookmarkStart w:id="143" w:name="_Toc54597435"/>
      <w:r>
        <w:rPr>
          <w:rFonts w:hint="eastAsia"/>
        </w:rPr>
        <w:t>动态范围</w:t>
      </w:r>
      <w:bookmarkEnd w:id="143"/>
    </w:p>
    <w:p w14:paraId="59A5377E">
      <w:pPr>
        <w:pStyle w:val="59"/>
        <w:ind w:firstLine="420"/>
      </w:pPr>
      <w:r>
        <w:rPr>
          <w:rFonts w:hint="eastAsia"/>
        </w:rPr>
        <w:t>动态范围的测量步骤如下：</w:t>
      </w:r>
    </w:p>
    <w:p w14:paraId="324EC84C">
      <w:pPr>
        <w:pStyle w:val="177"/>
        <w:numPr>
          <w:ilvl w:val="0"/>
          <w:numId w:val="43"/>
        </w:numPr>
      </w:pPr>
      <w:r>
        <w:rPr>
          <w:rFonts w:hint="eastAsia"/>
        </w:rPr>
        <w:t>被测设备置于标准测量状态；</w:t>
      </w:r>
    </w:p>
    <w:p w14:paraId="1366D830">
      <w:pPr>
        <w:pStyle w:val="177"/>
        <w:numPr>
          <w:ilvl w:val="0"/>
          <w:numId w:val="43"/>
        </w:numPr>
      </w:pPr>
      <w:r>
        <w:rPr>
          <w:rFonts w:hint="eastAsia"/>
        </w:rPr>
        <w:t>音频信号测试仪输入端添加20</w:t>
      </w:r>
      <w:r>
        <w:t xml:space="preserve"> </w:t>
      </w:r>
      <w:r>
        <w:rPr>
          <w:rFonts w:hint="eastAsia"/>
        </w:rPr>
        <w:t>Hz～20</w:t>
      </w:r>
      <w:r>
        <w:t xml:space="preserve"> k</w:t>
      </w:r>
      <w:r>
        <w:rPr>
          <w:rFonts w:hint="eastAsia"/>
        </w:rPr>
        <w:t>Hz带通滤波器；</w:t>
      </w:r>
    </w:p>
    <w:p w14:paraId="6B807556">
      <w:pPr>
        <w:pStyle w:val="177"/>
        <w:numPr>
          <w:ilvl w:val="0"/>
          <w:numId w:val="43"/>
        </w:numPr>
      </w:pPr>
      <w:r>
        <w:rPr>
          <w:rFonts w:hint="eastAsia"/>
        </w:rPr>
        <w:t>被测设备AES/EBU数字音频接口任一输入端输入频率为997</w:t>
      </w:r>
      <w:r>
        <w:t xml:space="preserve"> </w:t>
      </w:r>
      <w:r>
        <w:rPr>
          <w:rFonts w:hint="eastAsia"/>
        </w:rPr>
        <w:t>Hz、电平为-60</w:t>
      </w:r>
      <w:r>
        <w:t xml:space="preserve"> </w:t>
      </w:r>
      <w:r>
        <w:rPr>
          <w:rFonts w:hint="eastAsia"/>
        </w:rPr>
        <w:t>dBF</w:t>
      </w:r>
      <w:r>
        <w:t>S</w:t>
      </w:r>
      <w:r>
        <w:rPr>
          <w:rFonts w:hint="eastAsia"/>
        </w:rPr>
        <w:t>的正弦波测量信号；</w:t>
      </w:r>
    </w:p>
    <w:p w14:paraId="3A226485">
      <w:pPr>
        <w:pStyle w:val="177"/>
        <w:numPr>
          <w:ilvl w:val="0"/>
          <w:numId w:val="43"/>
        </w:numPr>
      </w:pPr>
      <w:r>
        <w:rPr>
          <w:rFonts w:hint="eastAsia"/>
        </w:rPr>
        <w:t>将该输入通道信号依次路由到全部输出通道，使用A计权滤波，依次记录输出端信号总谐波失真加噪声值N%；</w:t>
      </w:r>
    </w:p>
    <w:p w14:paraId="54771AF5">
      <w:pPr>
        <w:pStyle w:val="177"/>
        <w:numPr>
          <w:ilvl w:val="0"/>
          <w:numId w:val="43"/>
        </w:numPr>
      </w:pPr>
      <w:r>
        <w:rPr>
          <w:rFonts w:hint="eastAsia"/>
        </w:rPr>
        <w:t>设动态范围为</w:t>
      </w:r>
      <w:r>
        <w:rPr>
          <w:rFonts w:hint="eastAsia"/>
          <w:i/>
          <w:iCs/>
        </w:rPr>
        <w:t>D</w:t>
      </w:r>
      <w:r>
        <w:rPr>
          <w:rFonts w:hint="eastAsia"/>
        </w:rPr>
        <w:t>，按公式（</w:t>
      </w:r>
      <w:r>
        <w:t>1</w:t>
      </w:r>
      <w:r>
        <w:rPr>
          <w:rFonts w:hint="eastAsia"/>
        </w:rPr>
        <w:t>）计算动态范围，单位（d</w:t>
      </w:r>
      <w:r>
        <w:t>B</w:t>
      </w:r>
      <w:r>
        <w:rPr>
          <w:rFonts w:hint="eastAsia"/>
        </w:rPr>
        <w:t>）</w:t>
      </w:r>
      <w:r>
        <w:t>。</w:t>
      </w:r>
    </w:p>
    <w:p w14:paraId="7851FE45">
      <w:pPr>
        <w:pStyle w:val="116"/>
        <w:rPr>
          <w:rFonts w:hint="eastAsia"/>
        </w:rPr>
      </w:pPr>
      <w:r>
        <w:tab/>
      </w:r>
      <m:oMath>
        <m:r>
          <m:rPr/>
          <w:rPr>
            <w:rStyle w:val="189"/>
            <w:rFonts w:ascii="Cambria Math" w:hAnsi="Cambria Math"/>
            <w:color w:val="000000" w:themeColor="text1"/>
            <w14:textFill>
              <w14:solidFill>
                <w14:schemeClr w14:val="tx1"/>
              </w14:solidFill>
            </w14:textFill>
          </w:rPr>
          <m:t>D=−20</m:t>
        </m:r>
        <m:func>
          <m:funcPr>
            <m:ctrlPr>
              <w:rPr>
                <w:rStyle w:val="189"/>
                <w:rFonts w:ascii="Cambria Math" w:hAnsi="Cambria Math"/>
                <w:color w:val="000000" w:themeColor="text1"/>
                <w14:textFill>
                  <w14:solidFill>
                    <w14:schemeClr w14:val="tx1"/>
                  </w14:solidFill>
                </w14:textFill>
              </w:rPr>
            </m:ctrlPr>
          </m:funcPr>
          <m:fName>
            <m:r>
              <m:rPr>
                <m:sty m:val="p"/>
              </m:rPr>
              <w:rPr>
                <w:rStyle w:val="189"/>
                <w:rFonts w:ascii="Cambria Math" w:hAnsi="Cambria Math"/>
                <w:color w:val="000000" w:themeColor="text1"/>
                <w14:textFill>
                  <w14:solidFill>
                    <w14:schemeClr w14:val="tx1"/>
                  </w14:solidFill>
                </w14:textFill>
              </w:rPr>
              <m:t>lg</m:t>
            </m:r>
            <m:ctrlPr>
              <w:rPr>
                <w:rStyle w:val="189"/>
                <w:rFonts w:ascii="Cambria Math" w:hAnsi="Cambria Math"/>
                <w:color w:val="000000" w:themeColor="text1"/>
                <w14:textFill>
                  <w14:solidFill>
                    <w14:schemeClr w14:val="tx1"/>
                  </w14:solidFill>
                </w14:textFill>
              </w:rPr>
            </m:ctrlPr>
          </m:fName>
          <m:e>
            <m:d>
              <m:dPr>
                <m:ctrlPr>
                  <w:rPr>
                    <w:rStyle w:val="189"/>
                    <w:rFonts w:ascii="Cambria Math" w:hAnsi="Cambria Math"/>
                    <w:i/>
                    <w:color w:val="000000" w:themeColor="text1"/>
                    <w14:textFill>
                      <w14:solidFill>
                        <w14:schemeClr w14:val="tx1"/>
                      </w14:solidFill>
                    </w14:textFill>
                  </w:rPr>
                </m:ctrlPr>
              </m:dPr>
              <m:e>
                <m:f>
                  <m:fPr>
                    <m:ctrlPr>
                      <w:rPr>
                        <w:rStyle w:val="189"/>
                        <w:rFonts w:ascii="Cambria Math" w:hAnsi="Cambria Math"/>
                        <w:i/>
                        <w:color w:val="000000" w:themeColor="text1"/>
                        <w14:textFill>
                          <w14:solidFill>
                            <w14:schemeClr w14:val="tx1"/>
                          </w14:solidFill>
                        </w14:textFill>
                      </w:rPr>
                    </m:ctrlPr>
                  </m:fPr>
                  <m:num>
                    <m:r>
                      <m:rPr/>
                      <w:rPr>
                        <w:rStyle w:val="189"/>
                        <w:rFonts w:ascii="Cambria Math" w:hAnsi="Cambria Math"/>
                        <w:color w:val="000000" w:themeColor="text1"/>
                        <w14:textFill>
                          <w14:solidFill>
                            <w14:schemeClr w14:val="tx1"/>
                          </w14:solidFill>
                        </w14:textFill>
                      </w:rPr>
                      <m:t>N</m:t>
                    </m:r>
                    <m:ctrlPr>
                      <w:rPr>
                        <w:rStyle w:val="189"/>
                        <w:rFonts w:ascii="Cambria Math" w:hAnsi="Cambria Math"/>
                        <w:i/>
                        <w:color w:val="000000" w:themeColor="text1"/>
                        <w14:textFill>
                          <w14:solidFill>
                            <w14:schemeClr w14:val="tx1"/>
                          </w14:solidFill>
                        </w14:textFill>
                      </w:rPr>
                    </m:ctrlPr>
                  </m:num>
                  <m:den>
                    <m:r>
                      <m:rPr/>
                      <w:rPr>
                        <w:rStyle w:val="189"/>
                        <w:rFonts w:ascii="Cambria Math" w:hAnsi="Cambria Math"/>
                        <w:color w:val="000000" w:themeColor="text1"/>
                        <w14:textFill>
                          <w14:solidFill>
                            <w14:schemeClr w14:val="tx1"/>
                          </w14:solidFill>
                        </w14:textFill>
                      </w:rPr>
                      <m:t>100</m:t>
                    </m:r>
                    <m:ctrlPr>
                      <w:rPr>
                        <w:rStyle w:val="189"/>
                        <w:rFonts w:ascii="Cambria Math" w:hAnsi="Cambria Math"/>
                        <w:i/>
                        <w:color w:val="000000" w:themeColor="text1"/>
                        <w14:textFill>
                          <w14:solidFill>
                            <w14:schemeClr w14:val="tx1"/>
                          </w14:solidFill>
                        </w14:textFill>
                      </w:rPr>
                    </m:ctrlPr>
                  </m:den>
                </m:f>
                <m:ctrlPr>
                  <w:rPr>
                    <w:rStyle w:val="189"/>
                    <w:rFonts w:ascii="Cambria Math" w:hAnsi="Cambria Math"/>
                    <w:i/>
                    <w:color w:val="000000" w:themeColor="text1"/>
                    <w14:textFill>
                      <w14:solidFill>
                        <w14:schemeClr w14:val="tx1"/>
                      </w14:solidFill>
                    </w14:textFill>
                  </w:rPr>
                </m:ctrlPr>
              </m:e>
            </m:d>
            <m:ctrlPr>
              <w:rPr>
                <w:rStyle w:val="189"/>
                <w:rFonts w:ascii="Cambria Math" w:hAnsi="Cambria Math"/>
                <w:color w:val="000000" w:themeColor="text1"/>
                <w14:textFill>
                  <w14:solidFill>
                    <w14:schemeClr w14:val="tx1"/>
                  </w14:solidFill>
                </w14:textFill>
              </w:rPr>
            </m:ctrlPr>
          </m:e>
        </m:func>
        <m:r>
          <m:rPr/>
          <w:rPr>
            <w:rStyle w:val="189"/>
            <w:rFonts w:ascii="Cambria Math" w:hAnsi="Cambria Math"/>
            <w:color w:val="000000" w:themeColor="text1"/>
            <w14:textFill>
              <w14:solidFill>
                <w14:schemeClr w14:val="tx1"/>
              </w14:solidFill>
            </w14:textFill>
          </w:rPr>
          <m:t>+60</m:t>
        </m:r>
      </m:oMath>
      <w:r>
        <w:rPr>
          <w:rFonts w:ascii="微软雅黑" w:hAnsi="微软雅黑" w:eastAsia="微软雅黑"/>
        </w:rPr>
        <w:tab/>
      </w:r>
      <w:r>
        <w:t>(</w:t>
      </w:r>
      <w:r>
        <w:fldChar w:fldCharType="begin"/>
      </w:r>
      <w:r>
        <w:instrText xml:space="preserve"> AUTONUM </w:instrText>
      </w:r>
      <w:r>
        <w:fldChar w:fldCharType="end"/>
      </w:r>
      <w:r>
        <w:t>)</w:t>
      </w:r>
    </w:p>
    <w:p w14:paraId="7C949207">
      <w:pPr>
        <w:pStyle w:val="58"/>
        <w:ind w:firstLine="420"/>
      </w:pPr>
      <w:r>
        <w:rPr>
          <w:rFonts w:hint="eastAsia"/>
        </w:rPr>
        <w:t>式中：</w:t>
      </w:r>
    </w:p>
    <w:p w14:paraId="6AB30536">
      <w:pPr>
        <w:pStyle w:val="135"/>
        <w:numPr>
          <w:ilvl w:val="0"/>
          <w:numId w:val="0"/>
        </w:numPr>
        <w:ind w:left="851" w:hanging="426"/>
      </w:pPr>
      <w:r>
        <w:rPr>
          <w:i/>
          <w:iCs/>
        </w:rPr>
        <w:t>D</w:t>
      </w:r>
      <w:r>
        <w:rPr>
          <w:rFonts w:hint="eastAsia"/>
          <w:i/>
          <w:iCs/>
        </w:rPr>
        <w:t>——</w:t>
      </w:r>
      <w:r>
        <w:rPr>
          <w:rFonts w:hint="eastAsia"/>
        </w:rPr>
        <w:t>动态范围；</w:t>
      </w:r>
    </w:p>
    <w:p w14:paraId="70DBCD65">
      <w:pPr>
        <w:pStyle w:val="59"/>
        <w:ind w:firstLine="420"/>
      </w:pPr>
      <w:r>
        <w:rPr>
          <w:i/>
          <w:iCs/>
        </w:rPr>
        <w:t>N</w:t>
      </w:r>
      <w:r>
        <w:rPr>
          <w:rFonts w:hint="eastAsia"/>
        </w:rPr>
        <w:t>——总谐波失真加噪声值。</w:t>
      </w:r>
    </w:p>
    <w:p w14:paraId="3B63814B">
      <w:pPr>
        <w:pStyle w:val="97"/>
        <w:spacing w:before="156" w:after="156"/>
      </w:pPr>
      <w:bookmarkStart w:id="144" w:name="_Toc54597436"/>
      <w:r>
        <w:rPr>
          <w:rFonts w:hint="eastAsia"/>
        </w:rPr>
        <w:t>相邻通道间串音衰减</w:t>
      </w:r>
      <w:bookmarkEnd w:id="144"/>
    </w:p>
    <w:p w14:paraId="7363FFC5">
      <w:pPr>
        <w:pStyle w:val="59"/>
        <w:ind w:firstLine="420"/>
      </w:pPr>
      <w:r>
        <w:rPr>
          <w:rFonts w:hint="eastAsia"/>
        </w:rPr>
        <w:t>相邻通道间串音衰减的测量步骤如下：</w:t>
      </w:r>
    </w:p>
    <w:p w14:paraId="5E582D7D">
      <w:pPr>
        <w:pStyle w:val="177"/>
        <w:numPr>
          <w:ilvl w:val="0"/>
          <w:numId w:val="44"/>
        </w:numPr>
      </w:pPr>
      <w:r>
        <w:rPr>
          <w:rFonts w:hint="eastAsia"/>
        </w:rPr>
        <w:t>被测设备置于标准测量状态；</w:t>
      </w:r>
    </w:p>
    <w:p w14:paraId="77D5F73D">
      <w:pPr>
        <w:pStyle w:val="177"/>
      </w:pPr>
      <w:r>
        <w:rPr>
          <w:rFonts w:hint="eastAsia"/>
        </w:rPr>
        <w:t>被测设备</w:t>
      </w:r>
      <w:bookmarkStart w:id="145" w:name="_Hlk16689032"/>
      <w:r>
        <w:rPr>
          <w:rFonts w:hint="eastAsia"/>
        </w:rPr>
        <w:t>任一相邻</w:t>
      </w:r>
      <w:r>
        <w:t>A</w:t>
      </w:r>
      <w:r>
        <w:rPr>
          <w:rFonts w:hint="eastAsia"/>
        </w:rPr>
        <w:t>通道和B通道输入端</w:t>
      </w:r>
      <w:bookmarkEnd w:id="145"/>
      <w:r>
        <w:rPr>
          <w:rFonts w:hint="eastAsia"/>
        </w:rPr>
        <w:t>输入频率为</w:t>
      </w:r>
      <w:r>
        <w:t xml:space="preserve">997 </w:t>
      </w:r>
      <w:r>
        <w:rPr>
          <w:rFonts w:hint="eastAsia"/>
        </w:rPr>
        <w:t>Hz、基准测量电平的正弦波测量信号，将该输入通道信号依次路由到相邻的两个输出通道，依次记录A通道、B通道输出端信号电平值</w:t>
      </w:r>
      <w:r>
        <w:rPr>
          <w:rFonts w:hint="eastAsia"/>
          <w:i/>
          <w:iCs/>
        </w:rPr>
        <w:t>U</w:t>
      </w:r>
      <w:r>
        <w:rPr>
          <w:i/>
          <w:iCs/>
          <w:vertAlign w:val="subscript"/>
        </w:rPr>
        <w:t>A,A</w:t>
      </w:r>
      <w:r>
        <w:rPr>
          <w:rFonts w:hint="eastAsia"/>
        </w:rPr>
        <w:t>、</w:t>
      </w:r>
      <w:r>
        <w:rPr>
          <w:rFonts w:hint="eastAsia"/>
          <w:i/>
          <w:iCs/>
        </w:rPr>
        <w:t>U</w:t>
      </w:r>
      <w:r>
        <w:rPr>
          <w:i/>
          <w:iCs/>
          <w:vertAlign w:val="subscript"/>
        </w:rPr>
        <w:t xml:space="preserve">B,B </w:t>
      </w:r>
      <w:r>
        <w:rPr>
          <w:rFonts w:hint="eastAsia"/>
        </w:rPr>
        <w:t>，单位（dB</w:t>
      </w:r>
      <w:r>
        <w:t>u</w:t>
      </w:r>
      <w:r>
        <w:rPr>
          <w:rFonts w:hint="eastAsia"/>
        </w:rPr>
        <w:t>）；</w:t>
      </w:r>
    </w:p>
    <w:p w14:paraId="667ACF67">
      <w:pPr>
        <w:pStyle w:val="177"/>
      </w:pPr>
      <w:r>
        <w:rPr>
          <w:rFonts w:hint="eastAsia"/>
        </w:rPr>
        <w:t>被测设备</w:t>
      </w:r>
      <w:r>
        <w:t>A</w:t>
      </w:r>
      <w:r>
        <w:rPr>
          <w:rFonts w:hint="eastAsia"/>
        </w:rPr>
        <w:t>通道输入端输入频率为</w:t>
      </w:r>
      <w:r>
        <w:t xml:space="preserve">997 </w:t>
      </w:r>
      <w:r>
        <w:rPr>
          <w:rFonts w:hint="eastAsia"/>
        </w:rPr>
        <w:t>Hz、基准测量电平的正弦波测量信号，</w:t>
      </w:r>
      <w:r>
        <w:t>B</w:t>
      </w:r>
      <w:r>
        <w:rPr>
          <w:rFonts w:hint="eastAsia"/>
        </w:rPr>
        <w:t>通道输入端不加入信号，依次记录B通道输出端信号电平值</w:t>
      </w:r>
      <w:r>
        <w:rPr>
          <w:rFonts w:hint="eastAsia"/>
          <w:i/>
          <w:iCs/>
        </w:rPr>
        <w:t>U</w:t>
      </w:r>
      <w:r>
        <w:rPr>
          <w:i/>
          <w:iCs/>
          <w:vertAlign w:val="subscript"/>
        </w:rPr>
        <w:t xml:space="preserve">B,A </w:t>
      </w:r>
      <w:r>
        <w:rPr>
          <w:rFonts w:hint="eastAsia"/>
        </w:rPr>
        <w:t>，单位（dB</w:t>
      </w:r>
      <w:r>
        <w:t>u</w:t>
      </w:r>
      <w:r>
        <w:rPr>
          <w:rFonts w:hint="eastAsia"/>
        </w:rPr>
        <w:t>）；</w:t>
      </w:r>
    </w:p>
    <w:p w14:paraId="10738028">
      <w:pPr>
        <w:pStyle w:val="177"/>
      </w:pPr>
      <w:r>
        <w:rPr>
          <w:rFonts w:hint="eastAsia"/>
        </w:rPr>
        <w:t>被测设备</w:t>
      </w:r>
      <w:r>
        <w:t>B</w:t>
      </w:r>
      <w:r>
        <w:rPr>
          <w:rFonts w:hint="eastAsia"/>
        </w:rPr>
        <w:t>通道输入端输入频率为</w:t>
      </w:r>
      <w:r>
        <w:t xml:space="preserve">997 </w:t>
      </w:r>
      <w:r>
        <w:rPr>
          <w:rFonts w:hint="eastAsia"/>
        </w:rPr>
        <w:t>Hz、基准测量电平的正弦波测量信号，</w:t>
      </w:r>
      <w:r>
        <w:t>A</w:t>
      </w:r>
      <w:r>
        <w:rPr>
          <w:rFonts w:hint="eastAsia"/>
        </w:rPr>
        <w:t>通道输入端不加入信号，依次记录</w:t>
      </w:r>
      <w:r>
        <w:t>A</w:t>
      </w:r>
      <w:r>
        <w:rPr>
          <w:rFonts w:hint="eastAsia"/>
        </w:rPr>
        <w:t>通道输出端信号电平值</w:t>
      </w:r>
      <w:r>
        <w:rPr>
          <w:rFonts w:hint="eastAsia"/>
          <w:i/>
          <w:iCs/>
        </w:rPr>
        <w:t>U</w:t>
      </w:r>
      <w:r>
        <w:rPr>
          <w:i/>
          <w:iCs/>
          <w:vertAlign w:val="subscript"/>
        </w:rPr>
        <w:t>A,B</w:t>
      </w:r>
      <w:r>
        <w:rPr>
          <w:rFonts w:hint="eastAsia"/>
        </w:rPr>
        <w:t>，单位（dB</w:t>
      </w:r>
      <w:r>
        <w:t>u</w:t>
      </w:r>
      <w:r>
        <w:rPr>
          <w:rFonts w:hint="eastAsia"/>
        </w:rPr>
        <w:t>）；</w:t>
      </w:r>
    </w:p>
    <w:p w14:paraId="3A083AED">
      <w:pPr>
        <w:pStyle w:val="177"/>
      </w:pPr>
      <w:r>
        <w:rPr>
          <w:rFonts w:hint="eastAsia"/>
        </w:rPr>
        <w:t>A通道对B通道的串音衰减为</w:t>
      </w:r>
      <w:r>
        <w:rPr>
          <w:rFonts w:hint="eastAsia"/>
          <w:i/>
          <w:iCs/>
        </w:rPr>
        <w:t>U</w:t>
      </w:r>
      <w:r>
        <w:rPr>
          <w:i/>
          <w:iCs/>
          <w:vertAlign w:val="subscript"/>
        </w:rPr>
        <w:t>A,A</w:t>
      </w:r>
      <w:r>
        <w:rPr>
          <w:rFonts w:hint="eastAsia"/>
        </w:rPr>
        <w:t>与</w:t>
      </w:r>
      <w:r>
        <w:rPr>
          <w:rFonts w:hint="eastAsia"/>
          <w:i/>
          <w:iCs/>
        </w:rPr>
        <w:t>U</w:t>
      </w:r>
      <w:r>
        <w:rPr>
          <w:i/>
          <w:iCs/>
          <w:vertAlign w:val="subscript"/>
        </w:rPr>
        <w:t>B,A</w:t>
      </w:r>
      <w:r>
        <w:rPr>
          <w:rFonts w:hint="eastAsia"/>
        </w:rPr>
        <w:t>的差值，单位（dB）；</w:t>
      </w:r>
    </w:p>
    <w:p w14:paraId="68C95902">
      <w:pPr>
        <w:pStyle w:val="177"/>
      </w:pPr>
      <w:r>
        <w:rPr>
          <w:rFonts w:hint="eastAsia"/>
        </w:rPr>
        <w:t>B通道对</w:t>
      </w:r>
      <w:r>
        <w:t>A</w:t>
      </w:r>
      <w:r>
        <w:rPr>
          <w:rFonts w:hint="eastAsia"/>
        </w:rPr>
        <w:t>通道的串音衰减为</w:t>
      </w:r>
      <w:r>
        <w:rPr>
          <w:rFonts w:hint="eastAsia"/>
          <w:i/>
          <w:iCs/>
        </w:rPr>
        <w:t>U</w:t>
      </w:r>
      <w:r>
        <w:rPr>
          <w:i/>
          <w:iCs/>
          <w:vertAlign w:val="subscript"/>
        </w:rPr>
        <w:t>B,B</w:t>
      </w:r>
      <w:r>
        <w:rPr>
          <w:rFonts w:hint="eastAsia"/>
        </w:rPr>
        <w:t>与</w:t>
      </w:r>
      <w:r>
        <w:rPr>
          <w:rFonts w:hint="eastAsia"/>
          <w:i/>
          <w:iCs/>
        </w:rPr>
        <w:t>U</w:t>
      </w:r>
      <w:r>
        <w:rPr>
          <w:i/>
          <w:iCs/>
          <w:vertAlign w:val="subscript"/>
        </w:rPr>
        <w:t>A,B</w:t>
      </w:r>
      <w:r>
        <w:rPr>
          <w:rFonts w:hint="eastAsia"/>
        </w:rPr>
        <w:t>的差值，单位（dB）；</w:t>
      </w:r>
    </w:p>
    <w:p w14:paraId="0F688370">
      <w:pPr>
        <w:pStyle w:val="177"/>
      </w:pPr>
      <w:r>
        <w:rPr>
          <w:rFonts w:hint="eastAsia"/>
        </w:rPr>
        <w:t>被测设备任一相邻</w:t>
      </w:r>
      <w:r>
        <w:t>A</w:t>
      </w:r>
      <w:r>
        <w:rPr>
          <w:rFonts w:hint="eastAsia"/>
        </w:rPr>
        <w:t>通道和B通道输入端输入频率为20</w:t>
      </w:r>
      <w:r>
        <w:t xml:space="preserve"> </w:t>
      </w:r>
      <w:r>
        <w:rPr>
          <w:rFonts w:hint="eastAsia"/>
        </w:rPr>
        <w:t>Hz～20</w:t>
      </w:r>
      <w:r>
        <w:t xml:space="preserve"> k</w:t>
      </w:r>
      <w:r>
        <w:rPr>
          <w:rFonts w:hint="eastAsia"/>
        </w:rPr>
        <w:t>Hz、基准测量电平的正弦波测量信号，将该输入通道信号依次路由到相邻的两个输出通道，依次记录A通道、B通道各频率取样点下的输出端信号电平值</w:t>
      </w:r>
      <w:r>
        <w:rPr>
          <w:rFonts w:hint="eastAsia"/>
          <w:i/>
          <w:iCs/>
        </w:rPr>
        <w:t>U</w:t>
      </w:r>
      <w:r>
        <w:rPr>
          <w:i/>
          <w:iCs/>
          <w:vertAlign w:val="subscript"/>
        </w:rPr>
        <w:t>A,A</w:t>
      </w:r>
      <w:r>
        <w:rPr>
          <w:rFonts w:hint="eastAsia"/>
        </w:rPr>
        <w:t>、</w:t>
      </w:r>
      <w:r>
        <w:rPr>
          <w:rFonts w:hint="eastAsia"/>
          <w:i/>
          <w:iCs/>
        </w:rPr>
        <w:t>U</w:t>
      </w:r>
      <w:r>
        <w:rPr>
          <w:i/>
          <w:iCs/>
          <w:vertAlign w:val="subscript"/>
        </w:rPr>
        <w:t xml:space="preserve">B,B </w:t>
      </w:r>
      <w:r>
        <w:rPr>
          <w:rFonts w:hint="eastAsia"/>
        </w:rPr>
        <w:t>，单位（dB</w:t>
      </w:r>
      <w:r>
        <w:t>u</w:t>
      </w:r>
      <w:r>
        <w:rPr>
          <w:rFonts w:hint="eastAsia"/>
        </w:rPr>
        <w:t>）；</w:t>
      </w:r>
    </w:p>
    <w:p w14:paraId="37870DC5">
      <w:pPr>
        <w:pStyle w:val="177"/>
      </w:pPr>
      <w:r>
        <w:rPr>
          <w:rFonts w:hint="eastAsia"/>
        </w:rPr>
        <w:t>被测设备</w:t>
      </w:r>
      <w:r>
        <w:t>A</w:t>
      </w:r>
      <w:r>
        <w:rPr>
          <w:rFonts w:hint="eastAsia"/>
        </w:rPr>
        <w:t>通道输入端输入频率为20</w:t>
      </w:r>
      <w:r>
        <w:t xml:space="preserve"> </w:t>
      </w:r>
      <w:r>
        <w:rPr>
          <w:rFonts w:hint="eastAsia"/>
        </w:rPr>
        <w:t>Hz～20</w:t>
      </w:r>
      <w:r>
        <w:t xml:space="preserve"> k</w:t>
      </w:r>
      <w:r>
        <w:rPr>
          <w:rFonts w:hint="eastAsia"/>
        </w:rPr>
        <w:t>Hz、基准测量电平的正弦波测量信号，</w:t>
      </w:r>
      <w:r>
        <w:t>B</w:t>
      </w:r>
      <w:r>
        <w:rPr>
          <w:rFonts w:hint="eastAsia"/>
        </w:rPr>
        <w:t>通道输入端不加入信号，依次记录</w:t>
      </w:r>
      <w:r>
        <w:t>B</w:t>
      </w:r>
      <w:r>
        <w:rPr>
          <w:rFonts w:hint="eastAsia"/>
        </w:rPr>
        <w:t>通道各频率取样点下的输出端信号电平值</w:t>
      </w:r>
      <w:r>
        <w:rPr>
          <w:rFonts w:hint="eastAsia"/>
          <w:i/>
          <w:iCs/>
        </w:rPr>
        <w:t>U</w:t>
      </w:r>
      <w:r>
        <w:rPr>
          <w:i/>
          <w:iCs/>
          <w:vertAlign w:val="subscript"/>
        </w:rPr>
        <w:t>B,A</w:t>
      </w:r>
      <w:r>
        <w:rPr>
          <w:rFonts w:hint="eastAsia"/>
        </w:rPr>
        <w:t>，单位（dB</w:t>
      </w:r>
      <w:r>
        <w:t>u</w:t>
      </w:r>
      <w:r>
        <w:rPr>
          <w:rFonts w:hint="eastAsia"/>
        </w:rPr>
        <w:t>）；</w:t>
      </w:r>
    </w:p>
    <w:p w14:paraId="53280D3E">
      <w:pPr>
        <w:pStyle w:val="177"/>
      </w:pPr>
      <w:r>
        <w:rPr>
          <w:rFonts w:hint="eastAsia"/>
        </w:rPr>
        <w:t>被测设备</w:t>
      </w:r>
      <w:r>
        <w:t>B</w:t>
      </w:r>
      <w:r>
        <w:rPr>
          <w:rFonts w:hint="eastAsia"/>
        </w:rPr>
        <w:t>通道输入端输入频率为20</w:t>
      </w:r>
      <w:r>
        <w:t xml:space="preserve"> </w:t>
      </w:r>
      <w:r>
        <w:rPr>
          <w:rFonts w:hint="eastAsia"/>
        </w:rPr>
        <w:t>Hz～20</w:t>
      </w:r>
      <w:r>
        <w:t xml:space="preserve"> k</w:t>
      </w:r>
      <w:r>
        <w:rPr>
          <w:rFonts w:hint="eastAsia"/>
        </w:rPr>
        <w:t>Hz、基准测量电平的正弦波测量信号，</w:t>
      </w:r>
      <w:r>
        <w:t>A</w:t>
      </w:r>
      <w:r>
        <w:rPr>
          <w:rFonts w:hint="eastAsia"/>
        </w:rPr>
        <w:t>通道输入端不加入信号，依次记录</w:t>
      </w:r>
      <w:r>
        <w:t>A</w:t>
      </w:r>
      <w:r>
        <w:rPr>
          <w:rFonts w:hint="eastAsia"/>
        </w:rPr>
        <w:t>通道各频率取样点下的输出端信号电平值</w:t>
      </w:r>
      <w:r>
        <w:rPr>
          <w:rFonts w:hint="eastAsia"/>
          <w:i/>
          <w:iCs/>
        </w:rPr>
        <w:t>U</w:t>
      </w:r>
      <w:r>
        <w:rPr>
          <w:i/>
          <w:iCs/>
          <w:vertAlign w:val="subscript"/>
        </w:rPr>
        <w:t>A,B</w:t>
      </w:r>
      <w:r>
        <w:rPr>
          <w:rFonts w:hint="eastAsia"/>
        </w:rPr>
        <w:t>，单位（dB</w:t>
      </w:r>
      <w:r>
        <w:t>u</w:t>
      </w:r>
      <w:r>
        <w:rPr>
          <w:rFonts w:hint="eastAsia"/>
        </w:rPr>
        <w:t>）；</w:t>
      </w:r>
    </w:p>
    <w:p w14:paraId="4290D2B9">
      <w:pPr>
        <w:pStyle w:val="177"/>
      </w:pPr>
      <w:r>
        <w:rPr>
          <w:rFonts w:hint="eastAsia"/>
        </w:rPr>
        <w:t>A通道对B通道的串音衰减为</w:t>
      </w:r>
      <w:r>
        <w:rPr>
          <w:rFonts w:hint="eastAsia"/>
          <w:i/>
          <w:iCs/>
        </w:rPr>
        <w:t>U</w:t>
      </w:r>
      <w:r>
        <w:rPr>
          <w:i/>
          <w:iCs/>
          <w:vertAlign w:val="subscript"/>
        </w:rPr>
        <w:t>A,A</w:t>
      </w:r>
      <w:r>
        <w:rPr>
          <w:rFonts w:hint="eastAsia"/>
        </w:rPr>
        <w:t>与</w:t>
      </w:r>
      <w:r>
        <w:rPr>
          <w:rFonts w:hint="eastAsia"/>
          <w:i/>
          <w:iCs/>
        </w:rPr>
        <w:t>U</w:t>
      </w:r>
      <w:r>
        <w:rPr>
          <w:i/>
          <w:iCs/>
          <w:vertAlign w:val="subscript"/>
        </w:rPr>
        <w:t>B,A</w:t>
      </w:r>
      <w:r>
        <w:rPr>
          <w:rFonts w:hint="eastAsia"/>
        </w:rPr>
        <w:t>的差值中的最小值，单位（dB）；</w:t>
      </w:r>
    </w:p>
    <w:p w14:paraId="48F0DCD2">
      <w:pPr>
        <w:pStyle w:val="177"/>
      </w:pPr>
      <w:r>
        <w:rPr>
          <w:rFonts w:hint="eastAsia"/>
        </w:rPr>
        <w:t>B通道对</w:t>
      </w:r>
      <w:r>
        <w:t>A</w:t>
      </w:r>
      <w:r>
        <w:rPr>
          <w:rFonts w:hint="eastAsia"/>
        </w:rPr>
        <w:t>通道的串音衰减为</w:t>
      </w:r>
      <w:r>
        <w:rPr>
          <w:rFonts w:hint="eastAsia"/>
          <w:i/>
          <w:iCs/>
        </w:rPr>
        <w:t>U</w:t>
      </w:r>
      <w:r>
        <w:rPr>
          <w:i/>
          <w:iCs/>
          <w:vertAlign w:val="subscript"/>
        </w:rPr>
        <w:t>B,B</w:t>
      </w:r>
      <w:r>
        <w:rPr>
          <w:rFonts w:hint="eastAsia"/>
        </w:rPr>
        <w:t>与</w:t>
      </w:r>
      <w:r>
        <w:rPr>
          <w:rFonts w:hint="eastAsia"/>
          <w:i/>
          <w:iCs/>
        </w:rPr>
        <w:t>U</w:t>
      </w:r>
      <w:r>
        <w:rPr>
          <w:i/>
          <w:iCs/>
          <w:vertAlign w:val="subscript"/>
        </w:rPr>
        <w:t>A,B</w:t>
      </w:r>
      <w:r>
        <w:rPr>
          <w:rFonts w:hint="eastAsia"/>
        </w:rPr>
        <w:t>的差值中的最小值，单位（dB）。</w:t>
      </w:r>
    </w:p>
    <w:p w14:paraId="5B54476B">
      <w:pPr>
        <w:pStyle w:val="97"/>
        <w:spacing w:before="156" w:after="156"/>
      </w:pPr>
      <w:bookmarkStart w:id="146" w:name="_Toc485020660"/>
      <w:bookmarkStart w:id="147" w:name="_Toc505682201"/>
      <w:bookmarkStart w:id="148" w:name="_Toc510956812"/>
      <w:bookmarkStart w:id="149" w:name="_Toc484879347"/>
      <w:bookmarkStart w:id="150" w:name="_Toc54597437"/>
      <w:r>
        <w:rPr>
          <w:rFonts w:hint="eastAsia"/>
        </w:rPr>
        <w:t>总谐波失真加噪声</w:t>
      </w:r>
      <w:bookmarkEnd w:id="146"/>
      <w:bookmarkEnd w:id="147"/>
      <w:bookmarkEnd w:id="148"/>
      <w:bookmarkEnd w:id="149"/>
      <w:bookmarkEnd w:id="150"/>
    </w:p>
    <w:p w14:paraId="4B44B9A0">
      <w:pPr>
        <w:pStyle w:val="59"/>
        <w:ind w:firstLine="420"/>
      </w:pPr>
      <w:r>
        <w:rPr>
          <w:rFonts w:hint="eastAsia"/>
        </w:rPr>
        <w:t>总谐波失真加噪声的测量步骤如下：</w:t>
      </w:r>
    </w:p>
    <w:p w14:paraId="2691FC3A">
      <w:pPr>
        <w:pStyle w:val="177"/>
        <w:numPr>
          <w:ilvl w:val="0"/>
          <w:numId w:val="45"/>
        </w:numPr>
      </w:pPr>
      <w:r>
        <w:rPr>
          <w:rFonts w:hint="eastAsia"/>
        </w:rPr>
        <w:t>被测设备置于标准测量状态；</w:t>
      </w:r>
    </w:p>
    <w:p w14:paraId="49861363">
      <w:pPr>
        <w:pStyle w:val="177"/>
        <w:numPr>
          <w:ilvl w:val="0"/>
          <w:numId w:val="45"/>
        </w:numPr>
      </w:pPr>
      <w:r>
        <w:rPr>
          <w:rFonts w:hint="eastAsia"/>
        </w:rPr>
        <w:t>音频信号测试仪输入端添加20</w:t>
      </w:r>
      <w:r>
        <w:t xml:space="preserve"> </w:t>
      </w:r>
      <w:r>
        <w:rPr>
          <w:rFonts w:hint="eastAsia"/>
        </w:rPr>
        <w:t>Hz～20</w:t>
      </w:r>
      <w:r>
        <w:t xml:space="preserve"> k</w:t>
      </w:r>
      <w:r>
        <w:rPr>
          <w:rFonts w:hint="eastAsia"/>
        </w:rPr>
        <w:t>Hz带通滤波器；</w:t>
      </w:r>
    </w:p>
    <w:p w14:paraId="37A2A065">
      <w:pPr>
        <w:pStyle w:val="177"/>
        <w:numPr>
          <w:ilvl w:val="0"/>
          <w:numId w:val="45"/>
        </w:numPr>
      </w:pPr>
      <w:r>
        <w:rPr>
          <w:rFonts w:hint="eastAsia"/>
        </w:rPr>
        <w:t>被测设备AES/EBU数字音频接口任一输入端输入频率为</w:t>
      </w:r>
      <w:r>
        <w:t xml:space="preserve">997 </w:t>
      </w:r>
      <w:r>
        <w:rPr>
          <w:rFonts w:hint="eastAsia"/>
        </w:rPr>
        <w:t>Hz、基准测量电平的正弦波测量信号；</w:t>
      </w:r>
    </w:p>
    <w:p w14:paraId="74F01DF3">
      <w:pPr>
        <w:pStyle w:val="177"/>
        <w:numPr>
          <w:ilvl w:val="0"/>
          <w:numId w:val="45"/>
        </w:numPr>
      </w:pPr>
      <w:r>
        <w:rPr>
          <w:rFonts w:hint="eastAsia"/>
        </w:rPr>
        <w:t>将该输入通道信号依次路由到全部输出通道，记录输出端信号总谐波失真加噪声值；</w:t>
      </w:r>
    </w:p>
    <w:p w14:paraId="3AB9FC9F">
      <w:pPr>
        <w:pStyle w:val="177"/>
        <w:numPr>
          <w:ilvl w:val="0"/>
          <w:numId w:val="45"/>
        </w:numPr>
      </w:pPr>
      <w:r>
        <w:rPr>
          <w:rFonts w:hint="eastAsia"/>
        </w:rPr>
        <w:t>被测设备AES/EBU数字音频接口任一输入端输入频率为20</w:t>
      </w:r>
      <w:r>
        <w:t xml:space="preserve"> </w:t>
      </w:r>
      <w:r>
        <w:rPr>
          <w:rFonts w:hint="eastAsia"/>
        </w:rPr>
        <w:t>Hz～20</w:t>
      </w:r>
      <w:r>
        <w:t xml:space="preserve"> k</w:t>
      </w:r>
      <w:r>
        <w:rPr>
          <w:rFonts w:hint="eastAsia"/>
        </w:rPr>
        <w:t>Hz、基准测量电平的正弦波测量信号；</w:t>
      </w:r>
    </w:p>
    <w:p w14:paraId="0C1D37A8">
      <w:pPr>
        <w:pStyle w:val="177"/>
        <w:numPr>
          <w:ilvl w:val="0"/>
          <w:numId w:val="45"/>
        </w:numPr>
      </w:pPr>
      <w:r>
        <w:rPr>
          <w:rFonts w:hint="eastAsia"/>
        </w:rPr>
        <w:t>记录各频率取样点下的输出端信号总谐波失真加噪声值，其中最大值为该通道的总谐波失真加噪声值。</w:t>
      </w:r>
    </w:p>
    <w:p w14:paraId="57ECDDFA">
      <w:pPr>
        <w:pStyle w:val="97"/>
        <w:spacing w:before="156" w:after="156"/>
      </w:pPr>
      <w:bookmarkStart w:id="151" w:name="_Toc54597438"/>
      <w:r>
        <w:rPr>
          <w:rFonts w:hint="eastAsia"/>
        </w:rPr>
        <w:t>互调失真</w:t>
      </w:r>
      <w:bookmarkEnd w:id="151"/>
    </w:p>
    <w:p w14:paraId="350CB7A2">
      <w:pPr>
        <w:pStyle w:val="233"/>
      </w:pPr>
      <w:r>
        <w:rPr>
          <w:rFonts w:hint="eastAsia"/>
        </w:rPr>
        <w:t>互调失真的测量步骤如下：</w:t>
      </w:r>
    </w:p>
    <w:p w14:paraId="43ED8656">
      <w:pPr>
        <w:pStyle w:val="177"/>
        <w:numPr>
          <w:ilvl w:val="0"/>
          <w:numId w:val="46"/>
        </w:numPr>
      </w:pPr>
      <w:r>
        <w:rPr>
          <w:rFonts w:hint="eastAsia"/>
        </w:rPr>
        <w:t>被测设备置于标准测量状态；</w:t>
      </w:r>
    </w:p>
    <w:p w14:paraId="0A476BD6">
      <w:pPr>
        <w:pStyle w:val="177"/>
        <w:numPr>
          <w:ilvl w:val="0"/>
          <w:numId w:val="46"/>
        </w:numPr>
      </w:pPr>
      <w:r>
        <w:rPr>
          <w:rFonts w:hint="eastAsia"/>
        </w:rPr>
        <w:t>被测设备AES/EBU数字音频接口任一输入端输入基准测量电平的正弦波测量信号；</w:t>
      </w:r>
    </w:p>
    <w:p w14:paraId="71009501">
      <w:pPr>
        <w:pStyle w:val="177"/>
        <w:numPr>
          <w:ilvl w:val="0"/>
          <w:numId w:val="46"/>
        </w:numPr>
      </w:pPr>
      <w:r>
        <w:rPr>
          <w:rFonts w:hint="eastAsia"/>
        </w:rPr>
        <w:t>调节信号频率60</w:t>
      </w:r>
      <w:r>
        <w:t xml:space="preserve"> </w:t>
      </w:r>
      <w:r>
        <w:rPr>
          <w:rFonts w:hint="eastAsia"/>
        </w:rPr>
        <w:t>Hz、7</w:t>
      </w:r>
      <w:r>
        <w:t xml:space="preserve"> k</w:t>
      </w:r>
      <w:r>
        <w:rPr>
          <w:rFonts w:hint="eastAsia"/>
        </w:rPr>
        <w:t>Hz的幅度比为4：1；</w:t>
      </w:r>
    </w:p>
    <w:p w14:paraId="3E614445">
      <w:pPr>
        <w:pStyle w:val="177"/>
        <w:numPr>
          <w:ilvl w:val="0"/>
          <w:numId w:val="46"/>
        </w:numPr>
      </w:pPr>
      <w:r>
        <w:rPr>
          <w:rFonts w:hint="eastAsia"/>
        </w:rPr>
        <w:t>将该输入通道信号依次路由到全部输出通道，依次记录互调失真仪上的显示数值，即为被测设备各通道的互调失真。</w:t>
      </w:r>
    </w:p>
    <w:p w14:paraId="3484DD1D">
      <w:pPr>
        <w:pStyle w:val="97"/>
        <w:spacing w:before="156" w:after="156"/>
      </w:pPr>
      <w:bookmarkStart w:id="152" w:name="_Toc485020661"/>
      <w:bookmarkStart w:id="153" w:name="_Toc484879348"/>
      <w:bookmarkStart w:id="154" w:name="_Toc54597439"/>
      <w:bookmarkStart w:id="155" w:name="_Toc510956813"/>
      <w:bookmarkStart w:id="156" w:name="_Toc505682202"/>
      <w:r>
        <w:rPr>
          <w:rFonts w:hint="eastAsia"/>
        </w:rPr>
        <w:t>相邻通道间相位差</w:t>
      </w:r>
      <w:bookmarkEnd w:id="152"/>
      <w:bookmarkEnd w:id="153"/>
      <w:bookmarkEnd w:id="154"/>
      <w:bookmarkEnd w:id="155"/>
      <w:bookmarkEnd w:id="156"/>
    </w:p>
    <w:p w14:paraId="68237767">
      <w:pPr>
        <w:pStyle w:val="59"/>
        <w:ind w:firstLine="420"/>
      </w:pPr>
      <w:r>
        <w:rPr>
          <w:rFonts w:hint="eastAsia"/>
        </w:rPr>
        <w:t>相邻通道间相位差的测量步骤如下：</w:t>
      </w:r>
    </w:p>
    <w:p w14:paraId="33A88A67">
      <w:pPr>
        <w:pStyle w:val="177"/>
        <w:numPr>
          <w:ilvl w:val="0"/>
          <w:numId w:val="47"/>
        </w:numPr>
      </w:pPr>
      <w:r>
        <w:rPr>
          <w:rFonts w:hint="eastAsia"/>
        </w:rPr>
        <w:t>被测设备置于标准测量状态；</w:t>
      </w:r>
    </w:p>
    <w:p w14:paraId="63D25F0B">
      <w:pPr>
        <w:pStyle w:val="177"/>
        <w:numPr>
          <w:ilvl w:val="0"/>
          <w:numId w:val="47"/>
        </w:numPr>
      </w:pPr>
      <w:r>
        <w:rPr>
          <w:rFonts w:hint="eastAsia"/>
        </w:rPr>
        <w:t>被测设备AES/EBU数字音频接口任意两个相邻通道输入端输入频率为20</w:t>
      </w:r>
      <w:r>
        <w:t xml:space="preserve"> </w:t>
      </w:r>
      <w:r>
        <w:rPr>
          <w:rFonts w:hint="eastAsia"/>
        </w:rPr>
        <w:t>Hz～20</w:t>
      </w:r>
      <w:r>
        <w:t xml:space="preserve"> k</w:t>
      </w:r>
      <w:r>
        <w:rPr>
          <w:rFonts w:hint="eastAsia"/>
        </w:rPr>
        <w:t>Hz、基准测量电平的正弦波测量信号；</w:t>
      </w:r>
    </w:p>
    <w:p w14:paraId="189509BB">
      <w:pPr>
        <w:pStyle w:val="177"/>
        <w:numPr>
          <w:ilvl w:val="0"/>
          <w:numId w:val="47"/>
        </w:numPr>
      </w:pPr>
      <w:r>
        <w:rPr>
          <w:rFonts w:hint="eastAsia"/>
        </w:rPr>
        <w:t>将该输入通道信号依次路由到相邻的两个输出通道，记录各频率取样点下的输出端信号相位差值；</w:t>
      </w:r>
    </w:p>
    <w:p w14:paraId="28A31185">
      <w:pPr>
        <w:pStyle w:val="177"/>
        <w:numPr>
          <w:ilvl w:val="0"/>
          <w:numId w:val="47"/>
        </w:numPr>
      </w:pPr>
      <w:r>
        <w:rPr>
          <w:rFonts w:hint="eastAsia"/>
        </w:rPr>
        <w:t>其中最大相位差为该组相邻通道间的相位差。</w:t>
      </w:r>
    </w:p>
    <w:p w14:paraId="12E3D2D7">
      <w:pPr>
        <w:pStyle w:val="68"/>
        <w:spacing w:before="156" w:after="156"/>
        <w:jc w:val="left"/>
      </w:pPr>
      <w:bookmarkStart w:id="157" w:name="_Toc510956845"/>
      <w:bookmarkStart w:id="158" w:name="_Toc484876044"/>
      <w:bookmarkStart w:id="159" w:name="_Toc485020688"/>
      <w:bookmarkStart w:id="160" w:name="_Toc505682243"/>
      <w:bookmarkStart w:id="161" w:name="_Toc484879375"/>
      <w:bookmarkStart w:id="162" w:name="_Toc484879313"/>
      <w:bookmarkStart w:id="163" w:name="_Toc54597472"/>
      <w:bookmarkStart w:id="164" w:name="_Toc19000985"/>
      <w:bookmarkStart w:id="165" w:name="_Toc203577740"/>
      <w:bookmarkStart w:id="166" w:name="_Toc19002069"/>
      <w:bookmarkStart w:id="167" w:name="_Toc511288861"/>
      <w:r>
        <w:rPr>
          <w:rFonts w:hint="eastAsia"/>
        </w:rPr>
        <w:t>设备可靠性、安全性和稳定性</w:t>
      </w:r>
      <w:bookmarkEnd w:id="157"/>
      <w:bookmarkEnd w:id="158"/>
      <w:bookmarkEnd w:id="159"/>
      <w:bookmarkEnd w:id="160"/>
      <w:bookmarkEnd w:id="161"/>
      <w:bookmarkEnd w:id="162"/>
      <w:r>
        <w:rPr>
          <w:rFonts w:hint="eastAsia"/>
        </w:rPr>
        <w:t>的测量方法</w:t>
      </w:r>
      <w:bookmarkEnd w:id="163"/>
      <w:bookmarkEnd w:id="164"/>
      <w:bookmarkEnd w:id="165"/>
      <w:bookmarkEnd w:id="166"/>
      <w:bookmarkEnd w:id="167"/>
    </w:p>
    <w:p w14:paraId="491C4C6F">
      <w:pPr>
        <w:pStyle w:val="97"/>
        <w:spacing w:before="156" w:after="156"/>
      </w:pPr>
      <w:r>
        <w:rPr>
          <w:rFonts w:hint="eastAsia"/>
        </w:rPr>
        <w:t>温湿度适应能力</w:t>
      </w:r>
    </w:p>
    <w:p w14:paraId="5DAD1F5B">
      <w:pPr>
        <w:pStyle w:val="233"/>
      </w:pPr>
      <w:r>
        <w:rPr>
          <w:rFonts w:hint="eastAsia"/>
        </w:rPr>
        <w:t>应按照DY/T 6—2021中5.5.4规定的测量步骤进行测量。</w:t>
      </w:r>
    </w:p>
    <w:p w14:paraId="5598C883">
      <w:pPr>
        <w:pStyle w:val="97"/>
        <w:spacing w:before="156" w:after="156"/>
      </w:pPr>
      <w:bookmarkStart w:id="168" w:name="_Toc510956847"/>
      <w:bookmarkStart w:id="169" w:name="_Toc54597476"/>
      <w:r>
        <w:rPr>
          <w:rFonts w:hint="eastAsia"/>
        </w:rPr>
        <w:t>电源适应范围</w:t>
      </w:r>
      <w:bookmarkEnd w:id="168"/>
      <w:bookmarkEnd w:id="169"/>
    </w:p>
    <w:p w14:paraId="61513D5A">
      <w:pPr>
        <w:pStyle w:val="233"/>
      </w:pPr>
      <w:r>
        <w:rPr>
          <w:rFonts w:hint="eastAsia"/>
        </w:rPr>
        <w:t>应按照DY/T 6—2021中5.5.4规定的测量步骤进行测量。</w:t>
      </w:r>
    </w:p>
    <w:p w14:paraId="04AB97E4">
      <w:pPr>
        <w:pStyle w:val="97"/>
        <w:spacing w:before="156" w:after="156"/>
      </w:pPr>
      <w:bookmarkStart w:id="170" w:name="_Toc485020691"/>
      <w:bookmarkStart w:id="171" w:name="_Toc54597477"/>
      <w:bookmarkStart w:id="172" w:name="_Toc505682246"/>
      <w:bookmarkStart w:id="173" w:name="_Toc510956849"/>
      <w:bookmarkStart w:id="174" w:name="_Toc484879378"/>
      <w:r>
        <w:rPr>
          <w:rFonts w:hint="eastAsia"/>
        </w:rPr>
        <w:t>断电保护</w:t>
      </w:r>
      <w:bookmarkEnd w:id="170"/>
      <w:bookmarkEnd w:id="171"/>
      <w:bookmarkEnd w:id="172"/>
      <w:bookmarkEnd w:id="173"/>
      <w:bookmarkEnd w:id="174"/>
    </w:p>
    <w:p w14:paraId="45EEB269">
      <w:pPr>
        <w:pStyle w:val="233"/>
      </w:pPr>
      <w:r>
        <w:rPr>
          <w:rFonts w:hint="eastAsia"/>
        </w:rPr>
        <w:t>应按照DY/T 6—2021中5.5.5规定的测量步骤进行测量。</w:t>
      </w:r>
    </w:p>
    <w:p w14:paraId="713F42E7">
      <w:pPr>
        <w:pStyle w:val="97"/>
        <w:spacing w:before="156" w:after="156"/>
      </w:pPr>
      <w:bookmarkStart w:id="175" w:name="_Toc510956850"/>
      <w:bookmarkStart w:id="176" w:name="_Toc54597478"/>
      <w:bookmarkStart w:id="177" w:name="_Toc485020692"/>
      <w:bookmarkStart w:id="178" w:name="_Toc484879379"/>
      <w:bookmarkStart w:id="179" w:name="_Toc505682247"/>
      <w:r>
        <w:rPr>
          <w:rFonts w:hint="eastAsia"/>
        </w:rPr>
        <w:t>规范操作</w:t>
      </w:r>
      <w:bookmarkEnd w:id="175"/>
      <w:bookmarkEnd w:id="176"/>
      <w:bookmarkEnd w:id="177"/>
      <w:bookmarkEnd w:id="178"/>
      <w:bookmarkEnd w:id="179"/>
    </w:p>
    <w:p w14:paraId="22F6932D">
      <w:pPr>
        <w:pStyle w:val="233"/>
      </w:pPr>
      <w:r>
        <w:rPr>
          <w:rFonts w:hint="eastAsia"/>
        </w:rPr>
        <w:t>应按照DY/T 6—2021中5.5.6规定的测量步骤进行测量。</w:t>
      </w:r>
    </w:p>
    <w:p w14:paraId="4106DBBF">
      <w:pPr>
        <w:pStyle w:val="59"/>
        <w:ind w:firstLine="0" w:firstLineChars="0"/>
        <w:sectPr>
          <w:headerReference r:id="rId19" w:type="default"/>
          <w:footerReference r:id="rId21" w:type="default"/>
          <w:headerReference r:id="rId20" w:type="even"/>
          <w:footerReference r:id="rId22" w:type="even"/>
          <w:pgSz w:w="11906" w:h="16838"/>
          <w:pgMar w:top="1871" w:right="1134" w:bottom="1134" w:left="1134" w:header="1418" w:footer="1134" w:gutter="284"/>
          <w:pgNumType w:start="1"/>
          <w:cols w:space="425" w:num="1"/>
          <w:formProt w:val="0"/>
          <w:docGrid w:type="lines" w:linePitch="312" w:charSpace="0"/>
        </w:sectPr>
      </w:pPr>
    </w:p>
    <w:bookmarkEnd w:id="25"/>
    <w:p w14:paraId="03BD734E">
      <w:pPr>
        <w:pStyle w:val="201"/>
        <w:rPr>
          <w:rFonts w:hint="eastAsia"/>
          <w:vanish w:val="0"/>
        </w:rPr>
      </w:pPr>
      <w:bookmarkStart w:id="180" w:name="BookMark5"/>
    </w:p>
    <w:p w14:paraId="15FD28B7">
      <w:pPr>
        <w:pStyle w:val="202"/>
        <w:rPr>
          <w:vanish w:val="0"/>
        </w:rPr>
      </w:pPr>
    </w:p>
    <w:p w14:paraId="2C0FC2DB">
      <w:pPr>
        <w:pStyle w:val="79"/>
        <w:spacing w:before="60" w:after="120"/>
      </w:pPr>
      <w:r>
        <w:br w:type="textWrapping"/>
      </w:r>
      <w:bookmarkStart w:id="181" w:name="_Toc203577741"/>
      <w:r>
        <w:rPr>
          <w:rFonts w:hint="eastAsia"/>
        </w:rPr>
        <w:t>（规范性）</w:t>
      </w:r>
      <w:r>
        <w:br w:type="textWrapping"/>
      </w:r>
      <w:r>
        <w:rPr>
          <w:rFonts w:hint="eastAsia"/>
        </w:rPr>
        <w:t>影院音频对象位置元数据与影厅空间信息的映射关系</w:t>
      </w:r>
      <w:bookmarkEnd w:id="181"/>
    </w:p>
    <w:p w14:paraId="73B3253F">
      <w:pPr>
        <w:pStyle w:val="59"/>
        <w:ind w:firstLine="420"/>
      </w:pPr>
      <w:r>
        <w:rPr>
          <w:rFonts w:hint="eastAsia"/>
        </w:rPr>
        <w:t>数字影院沉浸式音频还音系统的沉浸式音频文件对象位置元数据使用左手笛卡尔坐标系表示音频对象的位置，该坐标系使用三个正交轴（</w:t>
      </w:r>
      <w:r>
        <w:rPr>
          <w:i/>
          <w:iCs/>
        </w:rPr>
        <w:t>x</w:t>
      </w:r>
      <w:r>
        <w:rPr>
          <w:rFonts w:hint="eastAsia"/>
        </w:rPr>
        <w:t>，</w:t>
      </w:r>
      <w:r>
        <w:rPr>
          <w:i/>
          <w:iCs/>
        </w:rPr>
        <w:t>y</w:t>
      </w:r>
      <w:r>
        <w:rPr>
          <w:rFonts w:hint="eastAsia"/>
        </w:rPr>
        <w:t>，</w:t>
      </w:r>
      <w:r>
        <w:rPr>
          <w:i/>
          <w:iCs/>
        </w:rPr>
        <w:t>z</w:t>
      </w:r>
      <w:r>
        <w:rPr>
          <w:rFonts w:hint="eastAsia"/>
        </w:rPr>
        <w:t>）来定位空间中相对于原点的一个点。其中，</w:t>
      </w:r>
      <w:r>
        <w:rPr>
          <w:i/>
          <w:iCs/>
        </w:rPr>
        <w:t>x</w:t>
      </w:r>
      <w:r>
        <w:rPr>
          <w:rFonts w:hint="eastAsia"/>
        </w:rPr>
        <w:t>轴代表影厅横向/左右位置，</w:t>
      </w:r>
      <w:r>
        <w:rPr>
          <w:i/>
          <w:iCs/>
        </w:rPr>
        <w:t>y</w:t>
      </w:r>
      <w:r>
        <w:rPr>
          <w:rFonts w:hint="eastAsia"/>
        </w:rPr>
        <w:t>轴代表影厅纵向/前后位置，</w:t>
      </w:r>
      <w:r>
        <w:rPr>
          <w:i/>
          <w:iCs/>
        </w:rPr>
        <w:t>z</w:t>
      </w:r>
      <w:r>
        <w:rPr>
          <w:rFonts w:hint="eastAsia"/>
        </w:rPr>
        <w:t>轴代表影厅高度/上下位置，见图A.1。</w:t>
      </w:r>
    </w:p>
    <w:p w14:paraId="3AA8CBFC">
      <w:pPr>
        <w:pStyle w:val="59"/>
        <w:ind w:firstLine="0" w:firstLineChars="0"/>
        <w:jc w:val="center"/>
      </w:pPr>
      <w:r>
        <w:rPr>
          <w:rFonts w:hint="eastAsia"/>
        </w:rPr>
        <w:drawing>
          <wp:inline distT="0" distB="0" distL="114300" distR="114300">
            <wp:extent cx="2385060" cy="2270760"/>
            <wp:effectExtent l="0" t="0" r="7620" b="0"/>
            <wp:docPr id="1" name="图片 1" descr="左手坐标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左手坐标系"/>
                    <pic:cNvPicPr>
                      <a:picLocks noChangeAspect="1"/>
                    </pic:cNvPicPr>
                  </pic:nvPicPr>
                  <pic:blipFill>
                    <a:blip r:embed="rId24"/>
                    <a:srcRect l="17594" t="6592" r="43523" b="27607"/>
                    <a:stretch>
                      <a:fillRect/>
                    </a:stretch>
                  </pic:blipFill>
                  <pic:spPr>
                    <a:xfrm>
                      <a:off x="0" y="0"/>
                      <a:ext cx="2385060" cy="2270760"/>
                    </a:xfrm>
                    <a:prstGeom prst="rect">
                      <a:avLst/>
                    </a:prstGeom>
                  </pic:spPr>
                </pic:pic>
              </a:graphicData>
            </a:graphic>
          </wp:inline>
        </w:drawing>
      </w:r>
    </w:p>
    <w:p w14:paraId="78A6642D">
      <w:pPr>
        <w:pStyle w:val="59"/>
        <w:numPr>
          <w:ilvl w:val="1"/>
          <w:numId w:val="48"/>
        </w:numPr>
        <w:ind w:firstLine="420"/>
        <w:jc w:val="center"/>
      </w:pPr>
      <w:r>
        <w:rPr>
          <w:rFonts w:hint="eastAsia"/>
        </w:rPr>
        <w:t>左手笛卡尔坐标系</w:t>
      </w:r>
    </w:p>
    <w:p w14:paraId="225E0630">
      <w:pPr>
        <w:pStyle w:val="59"/>
        <w:numPr>
          <w:ilvl w:val="0"/>
          <w:numId w:val="48"/>
        </w:numPr>
        <w:ind w:firstLine="420"/>
        <w:rPr>
          <w:vanish/>
        </w:rPr>
      </w:pPr>
      <w:r>
        <w:rPr>
          <w:rFonts w:hint="eastAsia"/>
          <w:vanish/>
        </w:rPr>
        <w:t>音频对象位置笛卡尔坐标值相对于影厅的参考点进来了归一化。</w:t>
      </w:r>
    </w:p>
    <w:p w14:paraId="0C203263">
      <w:pPr>
        <w:pStyle w:val="59"/>
        <w:numPr>
          <w:ilvl w:val="0"/>
          <w:numId w:val="48"/>
        </w:numPr>
        <w:ind w:firstLine="420"/>
        <w:rPr>
          <w:vanish/>
        </w:rPr>
      </w:pPr>
      <w:r>
        <w:rPr>
          <w:rFonts w:hint="eastAsia"/>
          <w:vanish/>
        </w:rPr>
        <w:t>音频对象位置笛卡尔坐标值相对于影厅的参考点进来了归一化。</w:t>
      </w:r>
    </w:p>
    <w:p w14:paraId="4A39B65D">
      <w:pPr>
        <w:pStyle w:val="59"/>
        <w:ind w:firstLine="420"/>
      </w:pPr>
      <w:r>
        <w:rPr>
          <w:rFonts w:hint="eastAsia"/>
        </w:rPr>
        <w:t>音频对象位置相对于影厅参考点的左手笛卡尔坐标值进行了归一化处理，（</w:t>
      </w:r>
      <w:r>
        <w:rPr>
          <w:i/>
          <w:iCs/>
        </w:rPr>
        <w:t>x</w:t>
      </w:r>
      <w:r>
        <w:rPr>
          <w:rFonts w:hint="eastAsia"/>
        </w:rPr>
        <w:t>，</w:t>
      </w:r>
      <w:r>
        <w:rPr>
          <w:i/>
          <w:iCs/>
        </w:rPr>
        <w:t>y</w:t>
      </w:r>
      <w:r>
        <w:rPr>
          <w:rFonts w:hint="eastAsia"/>
        </w:rPr>
        <w:t>，</w:t>
      </w:r>
      <w:r>
        <w:rPr>
          <w:i/>
          <w:iCs/>
        </w:rPr>
        <w:t>z</w:t>
      </w:r>
      <w:r>
        <w:rPr>
          <w:rFonts w:hint="eastAsia"/>
        </w:rPr>
        <w:t>）坐标值范围从（0,0,0）到（1,1,1），相对于影厅回放环境的位置，原点为影厅的左前角，</w:t>
      </w:r>
      <w:r>
        <w:rPr>
          <w:i/>
          <w:iCs/>
        </w:rPr>
        <w:t>x</w:t>
      </w:r>
      <w:r>
        <w:t>=</w:t>
      </w:r>
      <w:r>
        <w:rPr>
          <w:rFonts w:hint="eastAsia"/>
        </w:rPr>
        <w:t>0对应于影厅左墙位置，</w:t>
      </w:r>
      <w:r>
        <w:rPr>
          <w:i/>
          <w:iCs/>
        </w:rPr>
        <w:t>x</w:t>
      </w:r>
      <w:r>
        <w:t>=</w:t>
      </w:r>
      <w:r>
        <w:rPr>
          <w:rFonts w:hint="eastAsia"/>
        </w:rPr>
        <w:t>1对应于影厅右墙位置，</w:t>
      </w:r>
      <w:r>
        <w:rPr>
          <w:i/>
          <w:iCs/>
        </w:rPr>
        <w:t>y</w:t>
      </w:r>
      <w:r>
        <w:t>=</w:t>
      </w:r>
      <w:r>
        <w:rPr>
          <w:rFonts w:hint="eastAsia"/>
        </w:rPr>
        <w:t>0对应于影厅前墙位置，</w:t>
      </w:r>
      <w:r>
        <w:rPr>
          <w:i/>
          <w:iCs/>
        </w:rPr>
        <w:t>y</w:t>
      </w:r>
      <w:r>
        <w:t>=</w:t>
      </w:r>
      <w:r>
        <w:rPr>
          <w:rFonts w:hint="eastAsia"/>
        </w:rPr>
        <w:t>1对应于影厅后墙位置，</w:t>
      </w:r>
      <w:r>
        <w:rPr>
          <w:i/>
          <w:iCs/>
        </w:rPr>
        <w:t>z</w:t>
      </w:r>
      <w:r>
        <w:t>=</w:t>
      </w:r>
      <w:r>
        <w:rPr>
          <w:rFonts w:hint="eastAsia"/>
        </w:rPr>
        <w:t>0对应于主声道和环绕声道扬声器系统声辐射中心所在位置，</w:t>
      </w:r>
      <w:r>
        <w:rPr>
          <w:i/>
          <w:iCs/>
        </w:rPr>
        <w:t>z</w:t>
      </w:r>
      <w:r>
        <w:t>=</w:t>
      </w:r>
      <w:r>
        <w:rPr>
          <w:rFonts w:hint="eastAsia"/>
        </w:rPr>
        <w:t>1对应于影厅天花位置。</w:t>
      </w:r>
    </w:p>
    <w:p w14:paraId="2315E2AE">
      <w:pPr>
        <w:pStyle w:val="59"/>
        <w:ind w:firstLine="420"/>
      </w:pPr>
      <w:r>
        <w:rPr>
          <w:rFonts w:hint="eastAsia"/>
        </w:rPr>
        <w:t>音频对象位置映射到影厅回放环境的位置关系实例：（0,0,0）位置代表影厅的左前角，高度为左声道扬声器系统声辐射中心位置，（1,0,0）位置代表影厅的右前角，高度为右声道扬声器系统声辐射中心位置，（0.5,0.5,1）代表影厅天花中心位置。</w:t>
      </w:r>
    </w:p>
    <w:p w14:paraId="78011A9D">
      <w:pPr>
        <w:pStyle w:val="59"/>
        <w:ind w:firstLine="420"/>
        <w:sectPr>
          <w:pgSz w:w="12240" w:h="15840"/>
          <w:pgMar w:top="1440" w:right="1800" w:bottom="1440" w:left="1800" w:header="720" w:footer="720" w:gutter="0"/>
          <w:cols w:space="720" w:num="1"/>
        </w:sectPr>
      </w:pPr>
      <w:r>
        <w:rPr>
          <w:rFonts w:hint="eastAsia"/>
        </w:rPr>
        <w:t xml:space="preserve"> </w:t>
      </w:r>
    </w:p>
    <w:p w14:paraId="10413CB8">
      <w:pPr>
        <w:pStyle w:val="201"/>
        <w:rPr>
          <w:rFonts w:hint="eastAsia"/>
          <w:vanish w:val="0"/>
        </w:rPr>
      </w:pPr>
    </w:p>
    <w:p w14:paraId="31C31458">
      <w:pPr>
        <w:pStyle w:val="202"/>
        <w:rPr>
          <w:vanish w:val="0"/>
        </w:rPr>
      </w:pPr>
    </w:p>
    <w:p w14:paraId="23F041F9">
      <w:pPr>
        <w:pStyle w:val="79"/>
        <w:spacing w:before="78" w:after="156"/>
      </w:pPr>
      <w:r>
        <w:br w:type="textWrapping"/>
      </w:r>
      <w:bookmarkStart w:id="182" w:name="_Toc203577742"/>
      <w:r>
        <w:rPr>
          <w:rFonts w:hint="eastAsia"/>
        </w:rPr>
        <w:t>（规范性）</w:t>
      </w:r>
      <w:r>
        <w:br w:type="textWrapping"/>
      </w:r>
      <w:r>
        <w:rPr>
          <w:rFonts w:hint="eastAsia"/>
        </w:rPr>
        <w:t>影院音频对象位置元数据与Audio Vivid位置元数据映射关系</w:t>
      </w:r>
      <w:bookmarkEnd w:id="182"/>
    </w:p>
    <w:p w14:paraId="531FA44E">
      <w:pPr>
        <w:pStyle w:val="59"/>
        <w:ind w:firstLine="420"/>
      </w:pPr>
      <w:r>
        <w:rPr>
          <w:rFonts w:hint="eastAsia" w:hAnsi="宋体"/>
        </w:rPr>
        <w:t xml:space="preserve"> GY/T 363—2023规定了Audio</w:t>
      </w:r>
      <w:r>
        <w:rPr>
          <w:rFonts w:hint="eastAsia"/>
        </w:rPr>
        <w:t xml:space="preserve"> </w:t>
      </w:r>
      <w:r>
        <w:rPr>
          <w:rFonts w:hint="eastAsia" w:hAnsi="宋体"/>
        </w:rPr>
        <w:t>Vivid的编解码及渲染标准，音频对象位置元数据的定义符合ITU</w:t>
      </w:r>
      <w:r>
        <w:rPr>
          <w:rFonts w:hint="eastAsia"/>
        </w:rPr>
        <w:t>-</w:t>
      </w:r>
      <w:r>
        <w:rPr>
          <w:rFonts w:hint="eastAsia" w:hAnsi="宋体"/>
        </w:rPr>
        <w:t>R</w:t>
      </w:r>
      <w:r>
        <w:rPr>
          <w:rFonts w:hint="eastAsia"/>
        </w:rPr>
        <w:t xml:space="preserve"> </w:t>
      </w:r>
      <w:r>
        <w:rPr>
          <w:rFonts w:hint="eastAsia" w:hAnsi="宋体"/>
        </w:rPr>
        <w:t>BS.2076</w:t>
      </w:r>
      <w:r>
        <w:rPr>
          <w:rFonts w:hint="eastAsia"/>
        </w:rPr>
        <w:t xml:space="preserve">-2 </w:t>
      </w:r>
      <w:r>
        <w:rPr>
          <w:rFonts w:hint="eastAsia" w:hAnsi="宋体"/>
        </w:rPr>
        <w:t>ADM标准定义。</w:t>
      </w:r>
    </w:p>
    <w:p w14:paraId="7FEF1CAC">
      <w:pPr>
        <w:pStyle w:val="59"/>
        <w:ind w:firstLine="420"/>
      </w:pPr>
      <w:r>
        <w:rPr>
          <w:rFonts w:hint="eastAsia"/>
        </w:rPr>
        <w:t>A</w:t>
      </w:r>
      <w:r>
        <w:rPr>
          <w:rFonts w:hint="eastAsia" w:hAnsi="宋体"/>
        </w:rPr>
        <w:t>udio</w:t>
      </w:r>
      <w:r>
        <w:rPr>
          <w:rFonts w:hint="eastAsia"/>
        </w:rPr>
        <w:t xml:space="preserve"> Vi</w:t>
      </w:r>
      <w:r>
        <w:rPr>
          <w:rFonts w:hint="eastAsia" w:hAnsi="宋体"/>
        </w:rPr>
        <w:t>vid音频对象位置坐标系的原点为甜点位置，即测听者位于房间中心位置，且面向屏幕方向。（</w:t>
      </w:r>
      <w:r>
        <w:rPr>
          <w:rFonts w:ascii="Times New Roman"/>
          <w:i/>
          <w:iCs/>
        </w:rPr>
        <w:t>x</w:t>
      </w:r>
      <w:r>
        <w:rPr>
          <w:rFonts w:hint="eastAsia" w:hAnsi="宋体"/>
        </w:rPr>
        <w:t>，</w:t>
      </w:r>
      <w:r>
        <w:rPr>
          <w:rFonts w:ascii="Times New Roman"/>
          <w:i/>
          <w:iCs/>
        </w:rPr>
        <w:t>y</w:t>
      </w:r>
      <w:r>
        <w:rPr>
          <w:rFonts w:hint="eastAsia" w:hAnsi="宋体"/>
        </w:rPr>
        <w:t>）平面位于主声道和环绕声道扬声器系统声中心所在水平面。（</w:t>
      </w:r>
      <w:r>
        <w:rPr>
          <w:rFonts w:ascii="Times New Roman"/>
          <w:i/>
          <w:iCs/>
        </w:rPr>
        <w:t>x</w:t>
      </w:r>
      <w:r>
        <w:rPr>
          <w:rFonts w:hint="eastAsia" w:hAnsi="宋体"/>
        </w:rPr>
        <w:t>，</w:t>
      </w:r>
      <w:r>
        <w:rPr>
          <w:rFonts w:ascii="Times New Roman"/>
          <w:i/>
          <w:iCs/>
        </w:rPr>
        <w:t>y</w:t>
      </w:r>
      <w:r>
        <w:rPr>
          <w:rFonts w:hint="eastAsia" w:hAnsi="宋体"/>
        </w:rPr>
        <w:t>，</w:t>
      </w:r>
      <w:r>
        <w:rPr>
          <w:rFonts w:ascii="Times New Roman"/>
          <w:i/>
          <w:iCs/>
        </w:rPr>
        <w:t>z</w:t>
      </w:r>
      <w:r>
        <w:rPr>
          <w:rFonts w:hint="eastAsia" w:hAnsi="宋体"/>
        </w:rPr>
        <w:t>）坐标轴中，</w:t>
      </w:r>
      <w:r>
        <w:rPr>
          <w:rFonts w:ascii="Times New Roman"/>
          <w:i/>
          <w:iCs/>
        </w:rPr>
        <w:t>x</w:t>
      </w:r>
      <w:r>
        <w:rPr>
          <w:rFonts w:hint="eastAsia" w:hAnsi="宋体"/>
        </w:rPr>
        <w:t>轴为左右方向，其中右方为正方向，</w:t>
      </w:r>
      <w:r>
        <w:rPr>
          <w:rFonts w:ascii="Times New Roman"/>
          <w:i/>
          <w:iCs/>
        </w:rPr>
        <w:t>y</w:t>
      </w:r>
      <w:r>
        <w:rPr>
          <w:rFonts w:hint="eastAsia" w:hAnsi="宋体"/>
        </w:rPr>
        <w:t>轴为前后方向，其中前方为正方向，</w:t>
      </w:r>
      <w:r>
        <w:rPr>
          <w:rFonts w:ascii="Times New Roman"/>
          <w:i/>
          <w:iCs/>
        </w:rPr>
        <w:t>z</w:t>
      </w:r>
      <w:r>
        <w:rPr>
          <w:rFonts w:hint="eastAsia" w:hAnsi="宋体"/>
        </w:rPr>
        <w:t>轴为上下方向，其中上方为正方向。</w:t>
      </w:r>
      <w:r>
        <w:rPr>
          <w:rFonts w:ascii="Times New Roman"/>
          <w:i/>
          <w:iCs/>
        </w:rPr>
        <w:t>x</w:t>
      </w:r>
      <w:r>
        <w:rPr>
          <w:rFonts w:hint="eastAsia" w:hAnsi="宋体"/>
          <w:i/>
          <w:iCs/>
        </w:rPr>
        <w:t>、</w:t>
      </w:r>
      <w:r>
        <w:rPr>
          <w:rFonts w:ascii="Times New Roman"/>
          <w:i/>
          <w:iCs/>
        </w:rPr>
        <w:t>y</w:t>
      </w:r>
      <w:r>
        <w:rPr>
          <w:rFonts w:hint="eastAsia" w:hAnsi="宋体"/>
          <w:i/>
          <w:iCs/>
        </w:rPr>
        <w:t>、</w:t>
      </w:r>
      <w:r>
        <w:rPr>
          <w:rFonts w:ascii="Times New Roman"/>
          <w:i/>
          <w:iCs/>
        </w:rPr>
        <w:t>z</w:t>
      </w:r>
      <w:r>
        <w:rPr>
          <w:rFonts w:hint="eastAsia" w:hAnsi="宋体"/>
        </w:rPr>
        <w:t>轴坐标的取值范围均为[</w:t>
      </w:r>
      <w:r>
        <w:rPr>
          <w:rFonts w:hint="eastAsia"/>
        </w:rPr>
        <w:t>-1,1]</w:t>
      </w:r>
      <w:r>
        <w:rPr>
          <w:rFonts w:hint="eastAsia" w:hAnsi="宋体"/>
        </w:rPr>
        <w:t>。</w:t>
      </w:r>
    </w:p>
    <w:p w14:paraId="132BF89C">
      <w:pPr>
        <w:pStyle w:val="59"/>
        <w:ind w:firstLine="420"/>
      </w:pPr>
      <w:r>
        <w:rPr>
          <w:rFonts w:hint="eastAsia" w:hAnsi="宋体"/>
        </w:rPr>
        <w:t>将附录A中影院音频对象位置元数据转换为Audio</w:t>
      </w:r>
      <w:r>
        <w:rPr>
          <w:rFonts w:hint="eastAsia"/>
        </w:rPr>
        <w:t xml:space="preserve"> V</w:t>
      </w:r>
      <w:r>
        <w:rPr>
          <w:rFonts w:hint="eastAsia" w:hAnsi="宋体"/>
        </w:rPr>
        <w:t>ivid位置元数据时，转换公式见公式（B.1）～公式（B.</w:t>
      </w:r>
      <w:r>
        <w:rPr>
          <w:rFonts w:hint="eastAsia"/>
        </w:rPr>
        <w:t>3</w:t>
      </w:r>
      <w:r>
        <w:rPr>
          <w:rFonts w:hint="eastAsia" w:hAnsi="宋体"/>
        </w:rPr>
        <w:t>）。</w:t>
      </w:r>
    </w:p>
    <w:p w14:paraId="18ED318C">
      <w:pPr>
        <w:pStyle w:val="116"/>
        <w:rPr>
          <w:rFonts w:hint="eastAsia"/>
        </w:rPr>
      </w:pPr>
      <w:r>
        <w:rPr>
          <w:rFonts w:hint="eastAsia"/>
        </w:rPr>
        <w:tab/>
      </w:r>
      <w:r>
        <w:rPr>
          <w:rFonts w:hint="eastAsia"/>
        </w:rPr>
        <w:drawing>
          <wp:inline distT="0" distB="0" distL="0" distR="0">
            <wp:extent cx="1295400" cy="152400"/>
            <wp:effectExtent l="0" t="0" r="0" b="0"/>
            <wp:docPr id="19093937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93737" name="图片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95400" cy="152400"/>
                    </a:xfrm>
                    <a:prstGeom prst="rect">
                      <a:avLst/>
                    </a:prstGeom>
                    <a:noFill/>
                    <a:ln>
                      <a:noFill/>
                    </a:ln>
                  </pic:spPr>
                </pic:pic>
              </a:graphicData>
            </a:graphic>
          </wp:inline>
        </w:drawing>
      </w:r>
      <w:r>
        <w:rPr>
          <w:rFonts w:hint="eastAsia" w:ascii="微软雅黑" w:hAnsi="微软雅黑" w:eastAsia="微软雅黑"/>
        </w:rPr>
        <w:tab/>
      </w:r>
      <w:r>
        <w:rPr>
          <w:rFonts w:hint="eastAsia"/>
        </w:rPr>
        <w:t>(B.1)</w:t>
      </w:r>
    </w:p>
    <w:p w14:paraId="5E92762A">
      <w:pPr>
        <w:pStyle w:val="58"/>
        <w:ind w:firstLine="420"/>
      </w:pPr>
      <w:r>
        <w:rPr>
          <w:rFonts w:hint="eastAsia" w:ascii="宋体" w:hAnsi="宋体"/>
        </w:rPr>
        <w:t>式中：</w:t>
      </w:r>
    </w:p>
    <w:p w14:paraId="33CC0CD7">
      <w:pPr>
        <w:pStyle w:val="59"/>
        <w:ind w:firstLine="420"/>
      </w:pPr>
      <w:r>
        <w:rPr>
          <w:rFonts w:ascii="Times New Roman"/>
          <w:i/>
          <w:iCs/>
        </w:rPr>
        <w:t>x</w:t>
      </w:r>
      <w:r>
        <w:rPr>
          <w:rFonts w:ascii="Times New Roman"/>
          <w:vertAlign w:val="subscript"/>
        </w:rPr>
        <w:t>vivid</w:t>
      </w:r>
      <w:r>
        <w:rPr>
          <w:rFonts w:ascii="Times New Roman"/>
        </w:rPr>
        <w:t>——</w:t>
      </w:r>
      <w:r>
        <w:rPr>
          <w:rFonts w:hint="eastAsia"/>
        </w:rPr>
        <w:t>A</w:t>
      </w:r>
      <w:r>
        <w:rPr>
          <w:rFonts w:hint="eastAsia" w:hAnsi="宋体"/>
        </w:rPr>
        <w:t>udio</w:t>
      </w:r>
      <w:r>
        <w:rPr>
          <w:rFonts w:hint="eastAsia"/>
        </w:rPr>
        <w:t xml:space="preserve"> V</w:t>
      </w:r>
      <w:r>
        <w:rPr>
          <w:rFonts w:hint="eastAsia" w:hAnsi="宋体"/>
        </w:rPr>
        <w:t>ivid坐标系下的对象</w:t>
      </w:r>
      <w:r>
        <w:rPr>
          <w:rFonts w:ascii="Times New Roman"/>
          <w:i/>
          <w:iCs/>
        </w:rPr>
        <w:t>x</w:t>
      </w:r>
      <w:r>
        <w:rPr>
          <w:rFonts w:hint="eastAsia" w:hAnsi="宋体"/>
        </w:rPr>
        <w:t>坐标；</w:t>
      </w:r>
    </w:p>
    <w:p w14:paraId="361556F1">
      <w:pPr>
        <w:pStyle w:val="59"/>
        <w:ind w:firstLine="420"/>
      </w:pPr>
      <w:r>
        <w:rPr>
          <w:rFonts w:ascii="Times New Roman"/>
          <w:i/>
          <w:iCs/>
        </w:rPr>
        <w:t>x</w:t>
      </w:r>
      <w:r>
        <w:rPr>
          <w:rFonts w:ascii="Times New Roman"/>
          <w:vertAlign w:val="subscript"/>
        </w:rPr>
        <w:t xml:space="preserve">th  </w:t>
      </w:r>
      <w:r>
        <w:rPr>
          <w:rFonts w:ascii="Times New Roman"/>
        </w:rPr>
        <w:t>——</w:t>
      </w:r>
      <w:r>
        <w:rPr>
          <w:rFonts w:hint="eastAsia" w:hAnsi="宋体"/>
        </w:rPr>
        <w:t>影院音频对象的</w:t>
      </w:r>
      <w:r>
        <w:rPr>
          <w:rFonts w:ascii="Times New Roman"/>
          <w:i/>
          <w:iCs/>
        </w:rPr>
        <w:t>x</w:t>
      </w:r>
      <w:r>
        <w:rPr>
          <w:rFonts w:hint="eastAsia" w:hAnsi="宋体"/>
        </w:rPr>
        <w:t>坐标。</w:t>
      </w:r>
    </w:p>
    <w:p w14:paraId="6BB53649">
      <w:pPr>
        <w:pStyle w:val="116"/>
        <w:rPr>
          <w:rFonts w:hint="eastAsia"/>
        </w:rPr>
      </w:pPr>
      <w:r>
        <w:rPr>
          <w:rFonts w:hint="eastAsia"/>
        </w:rPr>
        <w:tab/>
      </w:r>
      <w:r>
        <w:rPr>
          <w:rFonts w:hint="eastAsia"/>
        </w:rPr>
        <w:drawing>
          <wp:inline distT="0" distB="0" distL="0" distR="0">
            <wp:extent cx="1402080" cy="152400"/>
            <wp:effectExtent l="0" t="0" r="7620" b="0"/>
            <wp:docPr id="10020627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62731" name="图片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402080" cy="152400"/>
                    </a:xfrm>
                    <a:prstGeom prst="rect">
                      <a:avLst/>
                    </a:prstGeom>
                    <a:noFill/>
                    <a:ln>
                      <a:noFill/>
                    </a:ln>
                  </pic:spPr>
                </pic:pic>
              </a:graphicData>
            </a:graphic>
          </wp:inline>
        </w:drawing>
      </w:r>
      <w:r>
        <w:rPr>
          <w:rFonts w:hint="eastAsia" w:ascii="微软雅黑" w:hAnsi="微软雅黑" w:eastAsia="微软雅黑"/>
        </w:rPr>
        <w:tab/>
      </w:r>
      <w:r>
        <w:rPr>
          <w:rFonts w:hint="eastAsia"/>
        </w:rPr>
        <w:t>(B.2)</w:t>
      </w:r>
    </w:p>
    <w:p w14:paraId="21F08D73">
      <w:pPr>
        <w:pStyle w:val="58"/>
        <w:ind w:firstLine="420"/>
      </w:pPr>
      <w:r>
        <w:rPr>
          <w:rFonts w:hint="eastAsia" w:ascii="宋体" w:hAnsi="宋体"/>
        </w:rPr>
        <w:t>式中：</w:t>
      </w:r>
    </w:p>
    <w:p w14:paraId="246F433B">
      <w:pPr>
        <w:pStyle w:val="59"/>
        <w:ind w:firstLine="420"/>
      </w:pPr>
      <w:r>
        <w:rPr>
          <w:rFonts w:ascii="Times New Roman"/>
          <w:i/>
          <w:iCs/>
        </w:rPr>
        <w:t>y</w:t>
      </w:r>
      <w:r>
        <w:rPr>
          <w:rFonts w:ascii="Times New Roman"/>
          <w:vertAlign w:val="subscript"/>
        </w:rPr>
        <w:t>vivid</w:t>
      </w:r>
      <w:r>
        <w:rPr>
          <w:rFonts w:ascii="Times New Roman"/>
        </w:rPr>
        <w:t>——</w:t>
      </w:r>
      <w:r>
        <w:rPr>
          <w:rFonts w:hint="eastAsia"/>
        </w:rPr>
        <w:t>A</w:t>
      </w:r>
      <w:r>
        <w:rPr>
          <w:rFonts w:hint="eastAsia" w:hAnsi="宋体"/>
        </w:rPr>
        <w:t>udio</w:t>
      </w:r>
      <w:r>
        <w:rPr>
          <w:rFonts w:hint="eastAsia"/>
        </w:rPr>
        <w:t xml:space="preserve"> V</w:t>
      </w:r>
      <w:r>
        <w:rPr>
          <w:rFonts w:hint="eastAsia" w:hAnsi="宋体"/>
        </w:rPr>
        <w:t>ivid坐标系下的对象</w:t>
      </w:r>
      <w:r>
        <w:rPr>
          <w:rFonts w:ascii="Times New Roman"/>
          <w:i/>
          <w:iCs/>
        </w:rPr>
        <w:t>y</w:t>
      </w:r>
      <w:r>
        <w:rPr>
          <w:rFonts w:hint="eastAsia" w:hAnsi="宋体"/>
        </w:rPr>
        <w:t>坐标；</w:t>
      </w:r>
    </w:p>
    <w:p w14:paraId="5B72E8BA">
      <w:pPr>
        <w:pStyle w:val="59"/>
        <w:ind w:firstLine="420"/>
      </w:pPr>
      <w:r>
        <w:rPr>
          <w:rFonts w:ascii="Times New Roman"/>
          <w:i/>
          <w:iCs/>
        </w:rPr>
        <w:t>y</w:t>
      </w:r>
      <w:r>
        <w:rPr>
          <w:rFonts w:ascii="Times New Roman"/>
          <w:vertAlign w:val="subscript"/>
        </w:rPr>
        <w:t xml:space="preserve">th  </w:t>
      </w:r>
      <w:r>
        <w:rPr>
          <w:rFonts w:ascii="Times New Roman"/>
        </w:rPr>
        <w:t>——</w:t>
      </w:r>
      <w:r>
        <w:rPr>
          <w:rFonts w:hint="eastAsia" w:hAnsi="宋体"/>
        </w:rPr>
        <w:t>影院音频对象的</w:t>
      </w:r>
      <w:r>
        <w:rPr>
          <w:rFonts w:ascii="Times New Roman"/>
          <w:i/>
          <w:iCs/>
        </w:rPr>
        <w:t>y</w:t>
      </w:r>
      <w:r>
        <w:rPr>
          <w:rFonts w:hint="eastAsia" w:hAnsi="宋体"/>
        </w:rPr>
        <w:t>坐标。</w:t>
      </w:r>
    </w:p>
    <w:p w14:paraId="62570D8C">
      <w:pPr>
        <w:pStyle w:val="116"/>
        <w:rPr>
          <w:rFonts w:hint="eastAsia"/>
        </w:rPr>
      </w:pPr>
      <w:r>
        <w:rPr>
          <w:rFonts w:hint="eastAsia"/>
        </w:rPr>
        <w:tab/>
      </w:r>
      <w:r>
        <w:rPr>
          <w:rFonts w:hint="eastAsia"/>
        </w:rPr>
        <w:drawing>
          <wp:inline distT="0" distB="0" distL="0" distR="0">
            <wp:extent cx="609600" cy="152400"/>
            <wp:effectExtent l="0" t="0" r="0" b="0"/>
            <wp:docPr id="9298381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38126" name="图片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09600" cy="152400"/>
                    </a:xfrm>
                    <a:prstGeom prst="rect">
                      <a:avLst/>
                    </a:prstGeom>
                    <a:noFill/>
                    <a:ln>
                      <a:noFill/>
                    </a:ln>
                  </pic:spPr>
                </pic:pic>
              </a:graphicData>
            </a:graphic>
          </wp:inline>
        </w:drawing>
      </w:r>
      <w:r>
        <w:rPr>
          <w:rFonts w:hint="eastAsia" w:ascii="微软雅黑" w:hAnsi="微软雅黑" w:eastAsia="微软雅黑"/>
        </w:rPr>
        <w:tab/>
      </w:r>
      <w:r>
        <w:rPr>
          <w:rFonts w:hint="eastAsia"/>
        </w:rPr>
        <w:t>(B.3)</w:t>
      </w:r>
    </w:p>
    <w:p w14:paraId="40AF95DE">
      <w:pPr>
        <w:pStyle w:val="58"/>
        <w:ind w:firstLine="420"/>
      </w:pPr>
      <w:r>
        <w:rPr>
          <w:rFonts w:hint="eastAsia" w:ascii="宋体" w:hAnsi="宋体"/>
        </w:rPr>
        <w:t>式中：</w:t>
      </w:r>
    </w:p>
    <w:p w14:paraId="2B152F9B">
      <w:pPr>
        <w:pStyle w:val="59"/>
        <w:ind w:firstLine="420"/>
      </w:pPr>
      <w:r>
        <w:rPr>
          <w:rFonts w:ascii="Times New Roman"/>
          <w:i/>
          <w:iCs/>
        </w:rPr>
        <w:t>z</w:t>
      </w:r>
      <w:r>
        <w:rPr>
          <w:rFonts w:ascii="Times New Roman"/>
          <w:vertAlign w:val="subscript"/>
        </w:rPr>
        <w:t>vivid</w:t>
      </w:r>
      <w:r>
        <w:rPr>
          <w:rFonts w:ascii="Times New Roman"/>
        </w:rPr>
        <w:t>——</w:t>
      </w:r>
      <w:r>
        <w:rPr>
          <w:rFonts w:hint="eastAsia" w:hAnsi="宋体"/>
        </w:rPr>
        <w:t>Audio</w:t>
      </w:r>
      <w:r>
        <w:rPr>
          <w:rFonts w:hint="eastAsia"/>
        </w:rPr>
        <w:t xml:space="preserve"> </w:t>
      </w:r>
      <w:r>
        <w:rPr>
          <w:rFonts w:hint="eastAsia" w:hAnsi="宋体"/>
        </w:rPr>
        <w:t>Vivid坐标系下的对象</w:t>
      </w:r>
      <w:r>
        <w:rPr>
          <w:rFonts w:ascii="Times New Roman"/>
          <w:i/>
          <w:iCs/>
        </w:rPr>
        <w:t>z</w:t>
      </w:r>
      <w:r>
        <w:rPr>
          <w:rFonts w:hint="eastAsia" w:hAnsi="宋体"/>
        </w:rPr>
        <w:t>坐标；</w:t>
      </w:r>
    </w:p>
    <w:p w14:paraId="66D00B7F">
      <w:pPr>
        <w:pStyle w:val="59"/>
        <w:ind w:firstLine="420"/>
      </w:pPr>
      <w:r>
        <w:rPr>
          <w:rFonts w:ascii="Times New Roman"/>
          <w:i/>
          <w:iCs/>
        </w:rPr>
        <w:t>z</w:t>
      </w:r>
      <w:r>
        <w:rPr>
          <w:rFonts w:ascii="Times New Roman"/>
          <w:vertAlign w:val="subscript"/>
        </w:rPr>
        <w:t xml:space="preserve">th  </w:t>
      </w:r>
      <w:r>
        <w:rPr>
          <w:rFonts w:ascii="Times New Roman"/>
        </w:rPr>
        <w:t>——</w:t>
      </w:r>
      <w:r>
        <w:rPr>
          <w:rFonts w:hint="eastAsia" w:hAnsi="宋体"/>
        </w:rPr>
        <w:t>影院音频对象的</w:t>
      </w:r>
      <w:r>
        <w:rPr>
          <w:rFonts w:ascii="Times New Roman"/>
          <w:i/>
          <w:iCs/>
        </w:rPr>
        <w:t>z</w:t>
      </w:r>
      <w:r>
        <w:rPr>
          <w:rFonts w:hint="eastAsia" w:hAnsi="宋体"/>
        </w:rPr>
        <w:t>坐标。</w:t>
      </w:r>
    </w:p>
    <w:p w14:paraId="5655FE32">
      <w:pPr>
        <w:pStyle w:val="59"/>
        <w:ind w:firstLine="420"/>
      </w:pPr>
      <w:r>
        <w:rPr>
          <w:rFonts w:hint="eastAsia" w:hAnsi="宋体"/>
        </w:rPr>
        <w:t>将</w:t>
      </w:r>
      <w:r>
        <w:rPr>
          <w:rFonts w:hint="eastAsia"/>
        </w:rPr>
        <w:t>A</w:t>
      </w:r>
      <w:r>
        <w:rPr>
          <w:rFonts w:hint="eastAsia" w:hAnsi="宋体"/>
        </w:rPr>
        <w:t>udio</w:t>
      </w:r>
      <w:r>
        <w:rPr>
          <w:rFonts w:hint="eastAsia"/>
        </w:rPr>
        <w:t xml:space="preserve"> V</w:t>
      </w:r>
      <w:r>
        <w:rPr>
          <w:rFonts w:hint="eastAsia" w:hAnsi="宋体"/>
        </w:rPr>
        <w:t>ivid对象位置元数据转换为影院对象位置元数据时，转换公式见公式（B.</w:t>
      </w:r>
      <w:r>
        <w:rPr>
          <w:rFonts w:hint="eastAsia"/>
        </w:rPr>
        <w:t>4</w:t>
      </w:r>
      <w:r>
        <w:rPr>
          <w:rFonts w:hint="eastAsia" w:hAnsi="宋体"/>
        </w:rPr>
        <w:t>）～公式（B.</w:t>
      </w:r>
      <w:r>
        <w:rPr>
          <w:rFonts w:hint="eastAsia"/>
        </w:rPr>
        <w:t>6</w:t>
      </w:r>
      <w:r>
        <w:rPr>
          <w:rFonts w:hint="eastAsia" w:hAnsi="宋体"/>
        </w:rPr>
        <w:t>）。</w:t>
      </w:r>
    </w:p>
    <w:p w14:paraId="3C05B60E">
      <w:pPr>
        <w:pStyle w:val="116"/>
        <w:rPr>
          <w:rFonts w:hint="eastAsia"/>
        </w:rPr>
      </w:pPr>
      <w:r>
        <w:rPr>
          <w:rFonts w:hint="eastAsia"/>
        </w:rPr>
        <w:tab/>
      </w:r>
      <w:r>
        <w:rPr>
          <w:rFonts w:hint="eastAsia"/>
        </w:rPr>
        <w:drawing>
          <wp:inline distT="0" distB="0" distL="0" distR="0">
            <wp:extent cx="1295400" cy="152400"/>
            <wp:effectExtent l="0" t="0" r="0" b="0"/>
            <wp:docPr id="7043373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37316"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295400" cy="152400"/>
                    </a:xfrm>
                    <a:prstGeom prst="rect">
                      <a:avLst/>
                    </a:prstGeom>
                    <a:noFill/>
                    <a:ln>
                      <a:noFill/>
                    </a:ln>
                  </pic:spPr>
                </pic:pic>
              </a:graphicData>
            </a:graphic>
          </wp:inline>
        </w:drawing>
      </w:r>
      <w:r>
        <w:rPr>
          <w:rFonts w:hint="eastAsia" w:ascii="微软雅黑" w:hAnsi="微软雅黑" w:eastAsia="微软雅黑"/>
        </w:rPr>
        <w:tab/>
      </w:r>
      <w:r>
        <w:rPr>
          <w:rFonts w:hint="eastAsia"/>
        </w:rPr>
        <w:t>(B.4)</w:t>
      </w:r>
    </w:p>
    <w:p w14:paraId="42261486">
      <w:pPr>
        <w:pStyle w:val="116"/>
        <w:rPr>
          <w:rFonts w:hint="eastAsia"/>
        </w:rPr>
      </w:pPr>
      <w:r>
        <w:rPr>
          <w:rFonts w:hint="eastAsia"/>
        </w:rPr>
        <w:tab/>
      </w:r>
      <w:r>
        <w:rPr>
          <w:rFonts w:hint="eastAsia"/>
        </w:rPr>
        <w:drawing>
          <wp:inline distT="0" distB="0" distL="0" distR="0">
            <wp:extent cx="1402080" cy="152400"/>
            <wp:effectExtent l="0" t="0" r="7620" b="0"/>
            <wp:docPr id="4585034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03425" name="图片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402080" cy="152400"/>
                    </a:xfrm>
                    <a:prstGeom prst="rect">
                      <a:avLst/>
                    </a:prstGeom>
                    <a:noFill/>
                    <a:ln>
                      <a:noFill/>
                    </a:ln>
                  </pic:spPr>
                </pic:pic>
              </a:graphicData>
            </a:graphic>
          </wp:inline>
        </w:drawing>
      </w:r>
      <w:r>
        <w:rPr>
          <w:rFonts w:hint="eastAsia" w:ascii="微软雅黑" w:hAnsi="微软雅黑" w:eastAsia="微软雅黑"/>
        </w:rPr>
        <w:tab/>
      </w:r>
      <w:r>
        <w:rPr>
          <w:rFonts w:hint="eastAsia"/>
        </w:rPr>
        <w:t>(B.5)</w:t>
      </w:r>
    </w:p>
    <w:p w14:paraId="49EE1F90">
      <w:pPr>
        <w:pStyle w:val="116"/>
        <w:rPr>
          <w:rFonts w:hint="eastAsia"/>
        </w:rPr>
      </w:pPr>
      <w:r>
        <w:rPr>
          <w:rFonts w:hint="eastAsia"/>
        </w:rPr>
        <w:tab/>
      </w:r>
      <w:r>
        <w:rPr>
          <w:rFonts w:hint="eastAsia"/>
        </w:rPr>
        <w:drawing>
          <wp:inline distT="0" distB="0" distL="0" distR="0">
            <wp:extent cx="1402080" cy="304800"/>
            <wp:effectExtent l="0" t="0" r="7620" b="0"/>
            <wp:docPr id="16081562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56257" name="图片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02080" cy="304800"/>
                    </a:xfrm>
                    <a:prstGeom prst="rect">
                      <a:avLst/>
                    </a:prstGeom>
                    <a:noFill/>
                    <a:ln>
                      <a:noFill/>
                    </a:ln>
                  </pic:spPr>
                </pic:pic>
              </a:graphicData>
            </a:graphic>
          </wp:inline>
        </w:drawing>
      </w:r>
      <w:r>
        <w:rPr>
          <w:rFonts w:hint="eastAsia" w:ascii="微软雅黑" w:hAnsi="微软雅黑" w:eastAsia="微软雅黑"/>
        </w:rPr>
        <w:tab/>
      </w:r>
      <w:r>
        <w:rPr>
          <w:rFonts w:hint="eastAsia"/>
        </w:rPr>
        <w:t>(B.6)</w:t>
      </w:r>
    </w:p>
    <w:p w14:paraId="4F3DAAB5">
      <w:pPr>
        <w:pStyle w:val="59"/>
        <w:ind w:firstLine="420"/>
      </w:pPr>
      <w:r>
        <w:rPr>
          <w:rFonts w:hint="eastAsia" w:hAnsi="宋体"/>
        </w:rPr>
        <w:t>其中，由于Audio</w:t>
      </w:r>
      <w:r>
        <w:rPr>
          <w:rFonts w:hint="eastAsia"/>
        </w:rPr>
        <w:t xml:space="preserve"> V</w:t>
      </w:r>
      <w:r>
        <w:rPr>
          <w:rFonts w:hint="eastAsia" w:hAnsi="宋体"/>
        </w:rPr>
        <w:t>ivid对象位置元数据</w:t>
      </w:r>
      <w:r>
        <w:rPr>
          <w:rFonts w:ascii="Times New Roman"/>
          <w:i/>
          <w:iCs/>
        </w:rPr>
        <w:t>z</w:t>
      </w:r>
      <w:r>
        <w:rPr>
          <w:rFonts w:hint="eastAsia" w:hAnsi="宋体"/>
        </w:rPr>
        <w:t>轴的取值范围为[</w:t>
      </w:r>
      <w:r>
        <w:rPr>
          <w:rFonts w:hint="eastAsia"/>
        </w:rPr>
        <w:t>-1,1]</w:t>
      </w:r>
      <w:r>
        <w:rPr>
          <w:rFonts w:hint="eastAsia" w:hAnsi="宋体"/>
        </w:rPr>
        <w:t>，影院位置元数据</w:t>
      </w:r>
      <w:r>
        <w:rPr>
          <w:rFonts w:ascii="Times New Roman"/>
          <w:i/>
          <w:iCs/>
        </w:rPr>
        <w:t>z</w:t>
      </w:r>
      <w:r>
        <w:rPr>
          <w:rFonts w:hint="eastAsia" w:hAnsi="宋体"/>
        </w:rPr>
        <w:t>轴的取值范围为[</w:t>
      </w:r>
      <w:r>
        <w:rPr>
          <w:rFonts w:hint="eastAsia"/>
        </w:rPr>
        <w:t>0,1]</w:t>
      </w:r>
      <w:r>
        <w:rPr>
          <w:rFonts w:hint="eastAsia" w:hAnsi="宋体"/>
        </w:rPr>
        <w:t>，因此</w:t>
      </w:r>
      <w:r>
        <w:rPr>
          <w:rFonts w:ascii="Times New Roman"/>
          <w:i/>
          <w:iCs/>
        </w:rPr>
        <w:t>z</w:t>
      </w:r>
      <w:r>
        <w:rPr>
          <w:rFonts w:ascii="Times New Roman"/>
          <w:vertAlign w:val="subscript"/>
        </w:rPr>
        <w:t>vivid</w:t>
      </w:r>
      <w:r>
        <w:rPr>
          <w:rFonts w:hint="eastAsia" w:hAnsi="宋体"/>
        </w:rPr>
        <w:t>转换为</w:t>
      </w:r>
      <w:r>
        <w:rPr>
          <w:rFonts w:ascii="Times New Roman"/>
          <w:i/>
          <w:iCs/>
        </w:rPr>
        <w:t>z</w:t>
      </w:r>
      <w:r>
        <w:rPr>
          <w:rFonts w:ascii="Times New Roman"/>
          <w:vertAlign w:val="subscript"/>
        </w:rPr>
        <w:t>th</w:t>
      </w:r>
      <w:r>
        <w:rPr>
          <w:rFonts w:hint="eastAsia" w:hAnsi="宋体"/>
        </w:rPr>
        <w:t>时，需要进行空间位置坐标体系的转换。</w:t>
      </w:r>
    </w:p>
    <w:bookmarkEnd w:id="180"/>
    <w:p w14:paraId="7F72FBC7">
      <w:pPr>
        <w:pStyle w:val="59"/>
        <w:ind w:firstLine="0" w:firstLineChars="0"/>
        <w:sectPr>
          <w:pgSz w:w="11906" w:h="16838"/>
          <w:pgMar w:top="1871" w:right="1134" w:bottom="1134" w:left="1134" w:header="1418" w:footer="1134" w:gutter="284"/>
          <w:cols w:space="425" w:num="1"/>
          <w:formProt w:val="0"/>
          <w:docGrid w:type="lines" w:linePitch="312" w:charSpace="0"/>
        </w:sectPr>
      </w:pPr>
      <w:bookmarkStart w:id="183" w:name="BookMark6"/>
    </w:p>
    <w:p w14:paraId="7C7FDCE5">
      <w:pPr>
        <w:pStyle w:val="66"/>
        <w:spacing w:before="124" w:after="156"/>
      </w:pPr>
      <w:bookmarkStart w:id="184" w:name="_Toc203577743"/>
      <w:r>
        <w:rPr>
          <w:rFonts w:hint="eastAsia"/>
          <w:spacing w:val="105"/>
        </w:rPr>
        <w:t>参考文</w:t>
      </w:r>
      <w:r>
        <w:rPr>
          <w:rFonts w:hint="eastAsia"/>
        </w:rPr>
        <w:t>献</w:t>
      </w:r>
      <w:bookmarkEnd w:id="184"/>
    </w:p>
    <w:p w14:paraId="504A37EC">
      <w:pPr>
        <w:pStyle w:val="233"/>
        <w:numPr>
          <w:ilvl w:val="0"/>
          <w:numId w:val="49"/>
        </w:numPr>
        <w:ind w:firstLine="420"/>
        <w:rPr>
          <w:rFonts w:hint="eastAsia" w:hAnsi="宋体"/>
        </w:rPr>
      </w:pPr>
      <w:r>
        <w:rPr>
          <w:rFonts w:hint="eastAsia" w:hAnsi="宋体"/>
        </w:rPr>
        <w:t>GY/T 312—2017 电影 录音控制室、室内影厅B环电声响应规范和测量</w:t>
      </w:r>
    </w:p>
    <w:p w14:paraId="4A5046F4">
      <w:pPr>
        <w:pStyle w:val="233"/>
        <w:numPr>
          <w:ilvl w:val="0"/>
          <w:numId w:val="49"/>
        </w:numPr>
        <w:ind w:firstLine="420"/>
        <w:rPr>
          <w:rFonts w:hint="eastAsia" w:hAnsi="宋体"/>
        </w:rPr>
      </w:pPr>
      <w:r>
        <w:rPr>
          <w:rFonts w:hint="eastAsia" w:hAnsi="宋体"/>
        </w:rPr>
        <w:t>SMPTE ST 2098-5:2018  数字电影沉浸式音频通道和声场组（D-Cinema Immersive Audio Channels and Soundfield Groups）</w:t>
      </w:r>
    </w:p>
    <w:bookmarkEnd w:id="183"/>
    <w:p w14:paraId="04BEDFE7">
      <w:pPr>
        <w:pStyle w:val="59"/>
        <w:ind w:firstLine="0" w:firstLineChars="0"/>
        <w:jc w:val="center"/>
      </w:pPr>
      <w:bookmarkStart w:id="185" w:name="BookMark8"/>
      <w:r>
        <w:rPr>
          <w:rFonts w:hint="eastAsia"/>
        </w:rPr>
        <w:drawing>
          <wp:inline distT="0" distB="0" distL="0" distR="0">
            <wp:extent cx="1485900" cy="317500"/>
            <wp:effectExtent l="0" t="0" r="0" b="6350"/>
            <wp:docPr id="660147283" name="图片 4"/>
            <wp:cNvGraphicFramePr/>
            <a:graphic xmlns:a="http://schemas.openxmlformats.org/drawingml/2006/main">
              <a:graphicData uri="http://schemas.openxmlformats.org/drawingml/2006/picture">
                <pic:pic xmlns:pic="http://schemas.openxmlformats.org/drawingml/2006/picture">
                  <pic:nvPicPr>
                    <pic:cNvPr id="660147283" name="图片 4"/>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5"/>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BC7B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DCFC">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66990">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AA74">
    <w:pPr>
      <w:pStyle w:val="55"/>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BEDFA">
    <w:pPr>
      <w:pStyle w:val="54"/>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85F39">
    <w:pPr>
      <w:pStyle w:val="55"/>
    </w:pPr>
    <w:r>
      <w:fldChar w:fldCharType="begin"/>
    </w:r>
    <w:r>
      <w:instrText xml:space="preserve">PAGE   \* MERGEFORMAT</w:instrText>
    </w:r>
    <w:r>
      <w:fldChar w:fldCharType="separate"/>
    </w:r>
    <w:r>
      <w:rPr>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A73C">
    <w:pPr>
      <w:pStyle w:val="54"/>
    </w:pPr>
    <w:r>
      <w:fldChar w:fldCharType="begin"/>
    </w:r>
    <w:r>
      <w:instrText xml:space="preserve">PAGE   \* MERGEFORMAT</w:instrText>
    </w:r>
    <w:r>
      <w:fldChar w:fldCharType="separate"/>
    </w:r>
    <w:r>
      <w:rPr>
        <w:lang w:val="zh-CN"/>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3AD5">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5173">
    <w:pPr>
      <w:pStyle w:val="54"/>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EDD2A">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42257">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15DE">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0DB7D">
    <w:pPr>
      <w:pStyle w:val="64"/>
      <w:rPr>
        <w:rFonts w:hint="eastAsia"/>
      </w:rPr>
    </w:pPr>
    <w:r>
      <w:fldChar w:fldCharType="begin"/>
    </w:r>
    <w:r>
      <w:instrText xml:space="preserve"> STYLEREF  标准文件_文件编号  \* MERGEFORMAT </w:instrText>
    </w:r>
    <w:r>
      <w:fldChar w:fldCharType="separate"/>
    </w:r>
    <w:r>
      <w:t>DY/T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C2173">
    <w:pPr>
      <w:pStyle w:val="65"/>
      <w:rPr>
        <w:rFonts w:hint="eastAsia"/>
      </w:rPr>
    </w:pPr>
    <w:r>
      <w:fldChar w:fldCharType="begin"/>
    </w:r>
    <w:r>
      <w:instrText xml:space="preserve"> STYLEREF  标准文件_文件编号 \* MERGEFORMAT </w:instrText>
    </w:r>
    <w:r>
      <w:fldChar w:fldCharType="separate"/>
    </w:r>
    <w:r>
      <w:t>DY/T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ED85">
    <w:pPr>
      <w:pStyle w:val="64"/>
      <w:rPr>
        <w:rFonts w:hint="eastAsia"/>
      </w:rPr>
    </w:pPr>
    <w:r>
      <w:fldChar w:fldCharType="begin"/>
    </w:r>
    <w:r>
      <w:instrText xml:space="preserve"> STYLEREF  标准文件_文件编号  \* MERGEFORMAT </w:instrText>
    </w:r>
    <w:r>
      <w:fldChar w:fldCharType="separate"/>
    </w:r>
    <w:r>
      <w:t>DY/T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6371">
    <w:pPr>
      <w:pStyle w:val="65"/>
      <w:jc w:val="right"/>
      <w:rPr>
        <w:rFonts w:hint="eastAsia"/>
      </w:rPr>
    </w:pPr>
    <w:r>
      <w:fldChar w:fldCharType="begin"/>
    </w:r>
    <w:r>
      <w:instrText xml:space="preserve"> STYLEREF  标准文件_文件编号 \* MERGEFORMAT </w:instrText>
    </w:r>
    <w:r>
      <w:fldChar w:fldCharType="separate"/>
    </w:r>
    <w:r>
      <w:t>DY/T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EF9B">
    <w:pPr>
      <w:pStyle w:val="64"/>
      <w:rPr>
        <w:rFonts w:hint="eastAsia"/>
      </w:rPr>
    </w:pPr>
    <w:r>
      <w:fldChar w:fldCharType="begin"/>
    </w:r>
    <w:r>
      <w:instrText xml:space="preserve"> STYLEREF  标准文件_文件编号  \* MERGEFORMAT </w:instrText>
    </w:r>
    <w:r>
      <w:fldChar w:fldCharType="separate"/>
    </w:r>
    <w:r>
      <w:t>DY/T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FF5A">
    <w:pPr>
      <w:pStyle w:val="19"/>
      <w:jc w:val="right"/>
    </w:pPr>
    <w:r>
      <w:rPr>
        <w:rFonts w:ascii="黑体" w:hAnsi="宋体" w:eastAsia="黑体"/>
        <w:kern w:val="0"/>
        <w:sz w:val="21"/>
        <w:szCs w:val="20"/>
      </w:rPr>
      <w:fldChar w:fldCharType="begin"/>
    </w:r>
    <w:r>
      <w:rPr>
        <w:rFonts w:ascii="黑体" w:hAnsi="宋体" w:eastAsia="黑体"/>
        <w:kern w:val="0"/>
        <w:sz w:val="21"/>
        <w:szCs w:val="20"/>
      </w:rPr>
      <w:instrText xml:space="preserve"> STYLEREF  标准文件_文件编号 \* MERGEFORMAT </w:instrText>
    </w:r>
    <w:r>
      <w:rPr>
        <w:rFonts w:ascii="黑体" w:hAnsi="宋体" w:eastAsia="黑体"/>
        <w:kern w:val="0"/>
        <w:sz w:val="21"/>
        <w:szCs w:val="20"/>
      </w:rPr>
      <w:fldChar w:fldCharType="separate"/>
    </w:r>
    <w:r>
      <w:rPr>
        <w:rFonts w:ascii="黑体" w:hAnsi="宋体" w:eastAsia="黑体"/>
        <w:kern w:val="0"/>
        <w:sz w:val="21"/>
        <w:szCs w:val="20"/>
      </w:rPr>
      <w:t>DY/T XXXXX—XXXX</w:t>
    </w:r>
    <w:r>
      <w:rPr>
        <w:rFonts w:ascii="黑体" w:hAnsi="宋体" w:eastAsia="黑体"/>
        <w:kern w:val="0"/>
        <w:sz w:val="21"/>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B6D9480"/>
    <w:multiLevelType w:val="multilevel"/>
    <w:tmpl w:val="0B6D9480"/>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4C54C1"/>
    <w:multiLevelType w:val="multilevel"/>
    <w:tmpl w:val="1F4C54C1"/>
    <w:lvl w:ilvl="0" w:tentative="0">
      <w:start w:val="1"/>
      <w:numFmt w:val="lowerLetter"/>
      <w:pStyle w:val="247"/>
      <w:lvlText w:val="%1)"/>
      <w:lvlJc w:val="left"/>
      <w:pPr>
        <w:tabs>
          <w:tab w:val="left" w:pos="987"/>
        </w:tabs>
        <w:ind w:left="986" w:hanging="419"/>
      </w:pPr>
      <w:rPr>
        <w:rFonts w:hint="eastAsia"/>
        <w:b w:val="0"/>
        <w:i w:val="0"/>
        <w:sz w:val="21"/>
        <w:szCs w:val="21"/>
      </w:rPr>
    </w:lvl>
    <w:lvl w:ilvl="1" w:tentative="0">
      <w:start w:val="1"/>
      <w:numFmt w:val="decimal"/>
      <w:pStyle w:val="246"/>
      <w:lvlText w:val="%2)"/>
      <w:lvlJc w:val="left"/>
      <w:pPr>
        <w:tabs>
          <w:tab w:val="left" w:pos="1260"/>
        </w:tabs>
        <w:ind w:left="1259" w:hanging="419"/>
      </w:pPr>
      <w:rPr>
        <w:rFonts w:hint="eastAsia"/>
      </w:rPr>
    </w:lvl>
    <w:lvl w:ilvl="2" w:tentative="0">
      <w:start w:val="1"/>
      <w:numFmt w:val="decimal"/>
      <w:pStyle w:val="24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1FC91163"/>
    <w:multiLevelType w:val="multilevel"/>
    <w:tmpl w:val="1FC91163"/>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283"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pStyle w:val="238"/>
      <w:suff w:val="nothing"/>
      <w:lvlText w:val="%1.%2.%3.%4　"/>
      <w:lvlJc w:val="left"/>
      <w:pPr>
        <w:ind w:left="0" w:firstLine="0"/>
      </w:pPr>
      <w:rPr>
        <w:rFonts w:hint="eastAsia" w:ascii="黑体" w:hAnsi="Times New Roman" w:eastAsia="黑体"/>
        <w:b w:val="0"/>
        <w:i w:val="0"/>
        <w:sz w:val="21"/>
      </w:rPr>
    </w:lvl>
    <w:lvl w:ilvl="4" w:tentative="0">
      <w:start w:val="1"/>
      <w:numFmt w:val="decimal"/>
      <w:pStyle w:val="239"/>
      <w:suff w:val="nothing"/>
      <w:lvlText w:val="%1.%2.%3.%4.%5　"/>
      <w:lvlJc w:val="left"/>
      <w:pPr>
        <w:ind w:left="0" w:firstLine="0"/>
      </w:pPr>
      <w:rPr>
        <w:rFonts w:hint="eastAsia" w:ascii="黑体" w:hAnsi="Times New Roman" w:eastAsia="黑体"/>
        <w:b w:val="0"/>
        <w:i w:val="0"/>
        <w:sz w:val="21"/>
      </w:rPr>
    </w:lvl>
    <w:lvl w:ilvl="5" w:tentative="0">
      <w:start w:val="1"/>
      <w:numFmt w:val="decimal"/>
      <w:pStyle w:val="2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5"/>
      <w:lvlText w:val="%1——"/>
      <w:lvlJc w:val="left"/>
      <w:pPr>
        <w:tabs>
          <w:tab w:val="left" w:pos="1561"/>
        </w:tabs>
        <w:ind w:left="1561" w:hanging="426"/>
      </w:pPr>
      <w:rPr>
        <w:rFonts w:hint="eastAsia" w:ascii="宋体" w:hAnsi="Times New Roman" w:eastAsia="宋体"/>
        <w:b w:val="0"/>
        <w:i w:val="0"/>
        <w:sz w:val="21"/>
      </w:rPr>
    </w:lvl>
    <w:lvl w:ilvl="1" w:tentative="0">
      <w:start w:val="1"/>
      <w:numFmt w:val="none"/>
      <w:pStyle w:val="190"/>
      <w:lvlText w:val=""/>
      <w:lvlJc w:val="left"/>
      <w:pPr>
        <w:ind w:left="709" w:hanging="431"/>
      </w:pPr>
      <w:rPr>
        <w:rFonts w:hint="default" w:ascii="Symbol" w:hAnsi="Symbol"/>
        <w:sz w:val="21"/>
      </w:rPr>
    </w:lvl>
    <w:lvl w:ilvl="2" w:tentative="0">
      <w:start w:val="1"/>
      <w:numFmt w:val="bullet"/>
      <w:pStyle w:val="175"/>
      <w:lvlText w:val=""/>
      <w:lvlJc w:val="left"/>
      <w:pPr>
        <w:ind w:left="709" w:hanging="426"/>
      </w:pPr>
      <w:rPr>
        <w:rFonts w:hint="default" w:ascii="Wingdings" w:hAnsi="Wingdings"/>
        <w:sz w:val="21"/>
      </w:rPr>
    </w:lvl>
    <w:lvl w:ilvl="3" w:tentative="0">
      <w:start w:val="1"/>
      <w:numFmt w:val="decimal"/>
      <w:lvlText w:val="%4."/>
      <w:lvlJc w:val="left"/>
      <w:pPr>
        <w:tabs>
          <w:tab w:val="left" w:pos="1929"/>
        </w:tabs>
        <w:ind w:left="1742" w:hanging="528"/>
      </w:pPr>
      <w:rPr>
        <w:rFonts w:hint="eastAsia"/>
      </w:rPr>
    </w:lvl>
    <w:lvl w:ilvl="4" w:tentative="0">
      <w:start w:val="1"/>
      <w:numFmt w:val="lowerLetter"/>
      <w:lvlText w:val="%5)"/>
      <w:lvlJc w:val="left"/>
      <w:pPr>
        <w:tabs>
          <w:tab w:val="left" w:pos="2241"/>
        </w:tabs>
        <w:ind w:left="2054" w:hanging="528"/>
      </w:pPr>
      <w:rPr>
        <w:rFonts w:hint="eastAsia"/>
      </w:rPr>
    </w:lvl>
    <w:lvl w:ilvl="5" w:tentative="0">
      <w:start w:val="1"/>
      <w:numFmt w:val="lowerRoman"/>
      <w:lvlText w:val="%6."/>
      <w:lvlJc w:val="right"/>
      <w:pPr>
        <w:tabs>
          <w:tab w:val="left" w:pos="2553"/>
        </w:tabs>
        <w:ind w:left="2366" w:hanging="528"/>
      </w:pPr>
      <w:rPr>
        <w:rFonts w:hint="eastAsia"/>
      </w:rPr>
    </w:lvl>
    <w:lvl w:ilvl="6" w:tentative="0">
      <w:start w:val="1"/>
      <w:numFmt w:val="decimal"/>
      <w:lvlText w:val="%7."/>
      <w:lvlJc w:val="left"/>
      <w:pPr>
        <w:tabs>
          <w:tab w:val="left" w:pos="2865"/>
        </w:tabs>
        <w:ind w:left="2678" w:hanging="528"/>
      </w:pPr>
      <w:rPr>
        <w:rFonts w:hint="eastAsia"/>
      </w:rPr>
    </w:lvl>
    <w:lvl w:ilvl="7" w:tentative="0">
      <w:start w:val="1"/>
      <w:numFmt w:val="lowerLetter"/>
      <w:lvlText w:val="%8)"/>
      <w:lvlJc w:val="left"/>
      <w:pPr>
        <w:tabs>
          <w:tab w:val="left" w:pos="3177"/>
        </w:tabs>
        <w:ind w:left="2990" w:hanging="528"/>
      </w:pPr>
      <w:rPr>
        <w:rFonts w:hint="eastAsia"/>
      </w:rPr>
    </w:lvl>
    <w:lvl w:ilvl="8" w:tentative="0">
      <w:start w:val="1"/>
      <w:numFmt w:val="lowerRoman"/>
      <w:lvlText w:val="%9."/>
      <w:lvlJc w:val="right"/>
      <w:pPr>
        <w:tabs>
          <w:tab w:val="left" w:pos="3489"/>
        </w:tabs>
        <w:ind w:left="3302"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4F227FE6"/>
    <w:multiLevelType w:val="multilevel"/>
    <w:tmpl w:val="4F227FE6"/>
    <w:lvl w:ilvl="0" w:tentative="0">
      <w:start w:val="1"/>
      <w:numFmt w:val="upperLetter"/>
      <w:lvlText w:val="%1"/>
      <w:lvlJc w:val="left"/>
      <w:pPr>
        <w:ind w:left="420" w:hanging="420"/>
      </w:pPr>
      <w:rPr>
        <w:rFonts w:hint="eastAsia" w:ascii="宋体" w:hAnsi="宋体" w:eastAsia="宋体"/>
      </w:rPr>
    </w:lvl>
    <w:lvl w:ilvl="1" w:tentative="0">
      <w:start w:val="1"/>
      <w:numFmt w:val="decimal"/>
      <w:suff w:val="space"/>
      <w:lvlText w:val="图%1.%2"/>
      <w:lvlJc w:val="center"/>
      <w:pPr>
        <w:ind w:left="0" w:firstLine="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1985"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4253"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BAE2147"/>
    <w:multiLevelType w:val="multilevel"/>
    <w:tmpl w:val="7BAE2147"/>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0"/>
  </w:num>
  <w:num w:numId="3">
    <w:abstractNumId w:val="5"/>
  </w:num>
  <w:num w:numId="4">
    <w:abstractNumId w:val="26"/>
  </w:num>
  <w:num w:numId="5">
    <w:abstractNumId w:val="21"/>
  </w:num>
  <w:num w:numId="6">
    <w:abstractNumId w:val="15"/>
  </w:num>
  <w:num w:numId="7">
    <w:abstractNumId w:val="8"/>
  </w:num>
  <w:num w:numId="8">
    <w:abstractNumId w:val="2"/>
  </w:num>
  <w:num w:numId="9">
    <w:abstractNumId w:val="9"/>
  </w:num>
  <w:num w:numId="10">
    <w:abstractNumId w:val="19"/>
  </w:num>
  <w:num w:numId="11">
    <w:abstractNumId w:val="28"/>
  </w:num>
  <w:num w:numId="12">
    <w:abstractNumId w:val="13"/>
  </w:num>
  <w:num w:numId="13">
    <w:abstractNumId w:val="14"/>
  </w:num>
  <w:num w:numId="14">
    <w:abstractNumId w:val="7"/>
  </w:num>
  <w:num w:numId="15">
    <w:abstractNumId w:val="22"/>
  </w:num>
  <w:num w:numId="16">
    <w:abstractNumId w:val="24"/>
  </w:num>
  <w:num w:numId="17">
    <w:abstractNumId w:val="20"/>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4"/>
  </w:num>
  <w:num w:numId="28">
    <w:abstractNumId w:val="3"/>
  </w:num>
  <w:num w:numId="29">
    <w:abstractNumId w:val="16"/>
  </w:num>
  <w:num w:numId="30">
    <w:abstractNumId w:val="27"/>
  </w:num>
  <w:num w:numId="31">
    <w:abstractNumId w:val="25"/>
  </w:num>
  <w:num w:numId="32">
    <w:abstractNumId w:val="11"/>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EF"/>
    <w:rsid w:val="0000040A"/>
    <w:rsid w:val="00000A94"/>
    <w:rsid w:val="00001972"/>
    <w:rsid w:val="00001D9A"/>
    <w:rsid w:val="00006093"/>
    <w:rsid w:val="00007B3A"/>
    <w:rsid w:val="000107E0"/>
    <w:rsid w:val="000109E2"/>
    <w:rsid w:val="00010EAB"/>
    <w:rsid w:val="00011FDE"/>
    <w:rsid w:val="00012FFD"/>
    <w:rsid w:val="00014162"/>
    <w:rsid w:val="00014340"/>
    <w:rsid w:val="00016A9C"/>
    <w:rsid w:val="00022184"/>
    <w:rsid w:val="00022714"/>
    <w:rsid w:val="00022762"/>
    <w:rsid w:val="000238E0"/>
    <w:rsid w:val="0002442B"/>
    <w:rsid w:val="000249DB"/>
    <w:rsid w:val="0002595E"/>
    <w:rsid w:val="000303C3"/>
    <w:rsid w:val="000329F0"/>
    <w:rsid w:val="000331D3"/>
    <w:rsid w:val="000346A5"/>
    <w:rsid w:val="000348E2"/>
    <w:rsid w:val="000359C3"/>
    <w:rsid w:val="00035A7D"/>
    <w:rsid w:val="00035DB3"/>
    <w:rsid w:val="000366B1"/>
    <w:rsid w:val="0004245C"/>
    <w:rsid w:val="0004249A"/>
    <w:rsid w:val="00043282"/>
    <w:rsid w:val="00044286"/>
    <w:rsid w:val="00047F28"/>
    <w:rsid w:val="00047F8C"/>
    <w:rsid w:val="000503AA"/>
    <w:rsid w:val="000506A1"/>
    <w:rsid w:val="000515DD"/>
    <w:rsid w:val="0005165C"/>
    <w:rsid w:val="0005265A"/>
    <w:rsid w:val="000539DD"/>
    <w:rsid w:val="00053BD3"/>
    <w:rsid w:val="000556ED"/>
    <w:rsid w:val="00055FE2"/>
    <w:rsid w:val="0005616F"/>
    <w:rsid w:val="0005632E"/>
    <w:rsid w:val="00060C2E"/>
    <w:rsid w:val="00061033"/>
    <w:rsid w:val="000619E9"/>
    <w:rsid w:val="000622D4"/>
    <w:rsid w:val="0006357D"/>
    <w:rsid w:val="00064172"/>
    <w:rsid w:val="000653F1"/>
    <w:rsid w:val="00067F1E"/>
    <w:rsid w:val="00071CC0"/>
    <w:rsid w:val="00073C8C"/>
    <w:rsid w:val="00077B64"/>
    <w:rsid w:val="00080A1C"/>
    <w:rsid w:val="00081DF2"/>
    <w:rsid w:val="00082317"/>
    <w:rsid w:val="00083D2C"/>
    <w:rsid w:val="0008438D"/>
    <w:rsid w:val="00086AA1"/>
    <w:rsid w:val="00087A77"/>
    <w:rsid w:val="000906C8"/>
    <w:rsid w:val="00090CA6"/>
    <w:rsid w:val="00091D83"/>
    <w:rsid w:val="00092B8A"/>
    <w:rsid w:val="00092FB0"/>
    <w:rsid w:val="000934C5"/>
    <w:rsid w:val="000935CA"/>
    <w:rsid w:val="00093D25"/>
    <w:rsid w:val="00093DAB"/>
    <w:rsid w:val="00094D73"/>
    <w:rsid w:val="00096D63"/>
    <w:rsid w:val="000A0B60"/>
    <w:rsid w:val="000A0EB8"/>
    <w:rsid w:val="000A19FC"/>
    <w:rsid w:val="000A25C9"/>
    <w:rsid w:val="000A296B"/>
    <w:rsid w:val="000A2F63"/>
    <w:rsid w:val="000A3321"/>
    <w:rsid w:val="000A4506"/>
    <w:rsid w:val="000A7311"/>
    <w:rsid w:val="000B060F"/>
    <w:rsid w:val="000B1592"/>
    <w:rsid w:val="000B1FF2"/>
    <w:rsid w:val="000B3CDA"/>
    <w:rsid w:val="000B6A0B"/>
    <w:rsid w:val="000B70A5"/>
    <w:rsid w:val="000C0F6C"/>
    <w:rsid w:val="000C11DB"/>
    <w:rsid w:val="000C1492"/>
    <w:rsid w:val="000C2FBD"/>
    <w:rsid w:val="000C397E"/>
    <w:rsid w:val="000C4B41"/>
    <w:rsid w:val="000C57D6"/>
    <w:rsid w:val="000C7666"/>
    <w:rsid w:val="000C7A14"/>
    <w:rsid w:val="000D0A9C"/>
    <w:rsid w:val="000D1795"/>
    <w:rsid w:val="000D2A9C"/>
    <w:rsid w:val="000D329A"/>
    <w:rsid w:val="000D32E5"/>
    <w:rsid w:val="000D3BB0"/>
    <w:rsid w:val="000D4B9C"/>
    <w:rsid w:val="000D4EB6"/>
    <w:rsid w:val="000D64F6"/>
    <w:rsid w:val="000D753B"/>
    <w:rsid w:val="000E4C9E"/>
    <w:rsid w:val="000E6732"/>
    <w:rsid w:val="000E6FD7"/>
    <w:rsid w:val="000F06E1"/>
    <w:rsid w:val="000F0E3C"/>
    <w:rsid w:val="000F175B"/>
    <w:rsid w:val="000F19D5"/>
    <w:rsid w:val="000F2522"/>
    <w:rsid w:val="000F328D"/>
    <w:rsid w:val="000F3AB7"/>
    <w:rsid w:val="000F4AEA"/>
    <w:rsid w:val="000F67E9"/>
    <w:rsid w:val="00104926"/>
    <w:rsid w:val="001117EF"/>
    <w:rsid w:val="00113B1E"/>
    <w:rsid w:val="0011711C"/>
    <w:rsid w:val="00121659"/>
    <w:rsid w:val="00121914"/>
    <w:rsid w:val="001249EF"/>
    <w:rsid w:val="00124E4F"/>
    <w:rsid w:val="001251F9"/>
    <w:rsid w:val="001260B7"/>
    <w:rsid w:val="001265CB"/>
    <w:rsid w:val="001266AB"/>
    <w:rsid w:val="001321C6"/>
    <w:rsid w:val="00132356"/>
    <w:rsid w:val="001325C4"/>
    <w:rsid w:val="001328BD"/>
    <w:rsid w:val="00133010"/>
    <w:rsid w:val="001338EE"/>
    <w:rsid w:val="00133AAE"/>
    <w:rsid w:val="00135323"/>
    <w:rsid w:val="001356C4"/>
    <w:rsid w:val="00135960"/>
    <w:rsid w:val="00136563"/>
    <w:rsid w:val="00141114"/>
    <w:rsid w:val="00142969"/>
    <w:rsid w:val="001457E7"/>
    <w:rsid w:val="00145D9D"/>
    <w:rsid w:val="00146388"/>
    <w:rsid w:val="001529E5"/>
    <w:rsid w:val="00153C7E"/>
    <w:rsid w:val="00156B25"/>
    <w:rsid w:val="00156E1A"/>
    <w:rsid w:val="001577D6"/>
    <w:rsid w:val="00157B55"/>
    <w:rsid w:val="0016040F"/>
    <w:rsid w:val="0016106E"/>
    <w:rsid w:val="001642FA"/>
    <w:rsid w:val="001649EB"/>
    <w:rsid w:val="00164BAF"/>
    <w:rsid w:val="00164FA8"/>
    <w:rsid w:val="00165065"/>
    <w:rsid w:val="00165434"/>
    <w:rsid w:val="00165650"/>
    <w:rsid w:val="0016580B"/>
    <w:rsid w:val="00165F49"/>
    <w:rsid w:val="0016695B"/>
    <w:rsid w:val="00166B88"/>
    <w:rsid w:val="0016770A"/>
    <w:rsid w:val="00170594"/>
    <w:rsid w:val="00170804"/>
    <w:rsid w:val="001708E9"/>
    <w:rsid w:val="0017340B"/>
    <w:rsid w:val="00173FB1"/>
    <w:rsid w:val="00175703"/>
    <w:rsid w:val="00176DFD"/>
    <w:rsid w:val="00180BA1"/>
    <w:rsid w:val="00181CAF"/>
    <w:rsid w:val="001852C9"/>
    <w:rsid w:val="00190087"/>
    <w:rsid w:val="001913C4"/>
    <w:rsid w:val="00191E68"/>
    <w:rsid w:val="0019348F"/>
    <w:rsid w:val="00193A07"/>
    <w:rsid w:val="00194C95"/>
    <w:rsid w:val="00195C34"/>
    <w:rsid w:val="001967C6"/>
    <w:rsid w:val="001A0264"/>
    <w:rsid w:val="001A1A53"/>
    <w:rsid w:val="001A234A"/>
    <w:rsid w:val="001A3302"/>
    <w:rsid w:val="001A5ADE"/>
    <w:rsid w:val="001B06E8"/>
    <w:rsid w:val="001B0AAB"/>
    <w:rsid w:val="001B193E"/>
    <w:rsid w:val="001B71D0"/>
    <w:rsid w:val="001B71EE"/>
    <w:rsid w:val="001B775C"/>
    <w:rsid w:val="001C04A8"/>
    <w:rsid w:val="001C077B"/>
    <w:rsid w:val="001C1649"/>
    <w:rsid w:val="001C1746"/>
    <w:rsid w:val="001C2C03"/>
    <w:rsid w:val="001C42F7"/>
    <w:rsid w:val="001C49E5"/>
    <w:rsid w:val="001C5955"/>
    <w:rsid w:val="001C680C"/>
    <w:rsid w:val="001C6CE5"/>
    <w:rsid w:val="001C7FEA"/>
    <w:rsid w:val="001D0499"/>
    <w:rsid w:val="001D0BBE"/>
    <w:rsid w:val="001D0ED4"/>
    <w:rsid w:val="001D212F"/>
    <w:rsid w:val="001D29D7"/>
    <w:rsid w:val="001D2DE7"/>
    <w:rsid w:val="001D411C"/>
    <w:rsid w:val="001E0874"/>
    <w:rsid w:val="001E1B6A"/>
    <w:rsid w:val="001E2484"/>
    <w:rsid w:val="001E3CC4"/>
    <w:rsid w:val="001E3DA0"/>
    <w:rsid w:val="001E4882"/>
    <w:rsid w:val="001E73AB"/>
    <w:rsid w:val="001F092D"/>
    <w:rsid w:val="001F0A9F"/>
    <w:rsid w:val="001F143A"/>
    <w:rsid w:val="001F1605"/>
    <w:rsid w:val="001F1F1E"/>
    <w:rsid w:val="001F2508"/>
    <w:rsid w:val="001F3AD9"/>
    <w:rsid w:val="001F4816"/>
    <w:rsid w:val="001F50B9"/>
    <w:rsid w:val="001F69B4"/>
    <w:rsid w:val="001F77C7"/>
    <w:rsid w:val="00200183"/>
    <w:rsid w:val="00200662"/>
    <w:rsid w:val="0020107D"/>
    <w:rsid w:val="00202AA4"/>
    <w:rsid w:val="00203092"/>
    <w:rsid w:val="002031F7"/>
    <w:rsid w:val="002039B6"/>
    <w:rsid w:val="002040E6"/>
    <w:rsid w:val="0020527B"/>
    <w:rsid w:val="0020594C"/>
    <w:rsid w:val="002059B9"/>
    <w:rsid w:val="00205F2C"/>
    <w:rsid w:val="002073C5"/>
    <w:rsid w:val="00207406"/>
    <w:rsid w:val="002100AC"/>
    <w:rsid w:val="002102B2"/>
    <w:rsid w:val="00210B15"/>
    <w:rsid w:val="002142EA"/>
    <w:rsid w:val="002204BB"/>
    <w:rsid w:val="00221AFC"/>
    <w:rsid w:val="00221B79"/>
    <w:rsid w:val="00221C6B"/>
    <w:rsid w:val="00224596"/>
    <w:rsid w:val="002253A1"/>
    <w:rsid w:val="00225CF8"/>
    <w:rsid w:val="0022656C"/>
    <w:rsid w:val="0022794E"/>
    <w:rsid w:val="00227F2A"/>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E4F"/>
    <w:rsid w:val="002621C5"/>
    <w:rsid w:val="00262696"/>
    <w:rsid w:val="002643C3"/>
    <w:rsid w:val="00264A0C"/>
    <w:rsid w:val="00267EF4"/>
    <w:rsid w:val="00270CB8"/>
    <w:rsid w:val="00272B08"/>
    <w:rsid w:val="00274942"/>
    <w:rsid w:val="0028074F"/>
    <w:rsid w:val="00281BB8"/>
    <w:rsid w:val="00281E9E"/>
    <w:rsid w:val="00283472"/>
    <w:rsid w:val="00285170"/>
    <w:rsid w:val="00285361"/>
    <w:rsid w:val="00287A8F"/>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9BE"/>
    <w:rsid w:val="002B7332"/>
    <w:rsid w:val="002B7504"/>
    <w:rsid w:val="002B7F51"/>
    <w:rsid w:val="002C09E7"/>
    <w:rsid w:val="002C275A"/>
    <w:rsid w:val="002C3728"/>
    <w:rsid w:val="002C3F07"/>
    <w:rsid w:val="002C5278"/>
    <w:rsid w:val="002C7EBB"/>
    <w:rsid w:val="002D06C1"/>
    <w:rsid w:val="002D42B5"/>
    <w:rsid w:val="002D4F1A"/>
    <w:rsid w:val="002D6DA6"/>
    <w:rsid w:val="002D6EC6"/>
    <w:rsid w:val="002D7497"/>
    <w:rsid w:val="002D79AC"/>
    <w:rsid w:val="002E039D"/>
    <w:rsid w:val="002E4D5A"/>
    <w:rsid w:val="002E6326"/>
    <w:rsid w:val="002E7903"/>
    <w:rsid w:val="002F30E0"/>
    <w:rsid w:val="002F35E4"/>
    <w:rsid w:val="002F3730"/>
    <w:rsid w:val="002F38E1"/>
    <w:rsid w:val="002F5ADB"/>
    <w:rsid w:val="002F7AF6"/>
    <w:rsid w:val="00300E63"/>
    <w:rsid w:val="00301950"/>
    <w:rsid w:val="00302F5F"/>
    <w:rsid w:val="0030441D"/>
    <w:rsid w:val="00305811"/>
    <w:rsid w:val="00306063"/>
    <w:rsid w:val="003133AE"/>
    <w:rsid w:val="0031354E"/>
    <w:rsid w:val="00313B85"/>
    <w:rsid w:val="00317988"/>
    <w:rsid w:val="00320D9F"/>
    <w:rsid w:val="003211AF"/>
    <w:rsid w:val="00321BB1"/>
    <w:rsid w:val="003221B4"/>
    <w:rsid w:val="00322E62"/>
    <w:rsid w:val="00324EDD"/>
    <w:rsid w:val="0032660D"/>
    <w:rsid w:val="0032699A"/>
    <w:rsid w:val="003331E4"/>
    <w:rsid w:val="00334EA2"/>
    <w:rsid w:val="00336C64"/>
    <w:rsid w:val="00337162"/>
    <w:rsid w:val="003374B5"/>
    <w:rsid w:val="00337D67"/>
    <w:rsid w:val="0034194F"/>
    <w:rsid w:val="003419D3"/>
    <w:rsid w:val="003440D6"/>
    <w:rsid w:val="00344605"/>
    <w:rsid w:val="003474AA"/>
    <w:rsid w:val="00350B7E"/>
    <w:rsid w:val="00350D1D"/>
    <w:rsid w:val="00351176"/>
    <w:rsid w:val="003516C0"/>
    <w:rsid w:val="00352C83"/>
    <w:rsid w:val="00353A6B"/>
    <w:rsid w:val="00360F78"/>
    <w:rsid w:val="003615D2"/>
    <w:rsid w:val="003632D5"/>
    <w:rsid w:val="0036429C"/>
    <w:rsid w:val="00364A53"/>
    <w:rsid w:val="003650CE"/>
    <w:rsid w:val="003654CB"/>
    <w:rsid w:val="00365F86"/>
    <w:rsid w:val="00365F87"/>
    <w:rsid w:val="00366F90"/>
    <w:rsid w:val="003705F4"/>
    <w:rsid w:val="00370D58"/>
    <w:rsid w:val="00371316"/>
    <w:rsid w:val="00372263"/>
    <w:rsid w:val="003754A7"/>
    <w:rsid w:val="00376713"/>
    <w:rsid w:val="00381815"/>
    <w:rsid w:val="003819AF"/>
    <w:rsid w:val="003820E9"/>
    <w:rsid w:val="00382DE7"/>
    <w:rsid w:val="00383A84"/>
    <w:rsid w:val="00384FFC"/>
    <w:rsid w:val="00385C5D"/>
    <w:rsid w:val="003872FC"/>
    <w:rsid w:val="00387ADC"/>
    <w:rsid w:val="00390020"/>
    <w:rsid w:val="003903D6"/>
    <w:rsid w:val="00390EE6"/>
    <w:rsid w:val="0039118F"/>
    <w:rsid w:val="00392AD7"/>
    <w:rsid w:val="003938D9"/>
    <w:rsid w:val="00394376"/>
    <w:rsid w:val="003943FF"/>
    <w:rsid w:val="00396163"/>
    <w:rsid w:val="003974EB"/>
    <w:rsid w:val="003976F1"/>
    <w:rsid w:val="00397CC5"/>
    <w:rsid w:val="003A1582"/>
    <w:rsid w:val="003A2D5A"/>
    <w:rsid w:val="003A4077"/>
    <w:rsid w:val="003A5917"/>
    <w:rsid w:val="003B09AD"/>
    <w:rsid w:val="003B0BD9"/>
    <w:rsid w:val="003B1F18"/>
    <w:rsid w:val="003B5746"/>
    <w:rsid w:val="003B5BF0"/>
    <w:rsid w:val="003B60BF"/>
    <w:rsid w:val="003B6BE3"/>
    <w:rsid w:val="003B71E9"/>
    <w:rsid w:val="003C010C"/>
    <w:rsid w:val="003C0A6C"/>
    <w:rsid w:val="003C22DF"/>
    <w:rsid w:val="003C2F09"/>
    <w:rsid w:val="003C3AD8"/>
    <w:rsid w:val="003C5A43"/>
    <w:rsid w:val="003D0519"/>
    <w:rsid w:val="003D0FF6"/>
    <w:rsid w:val="003D217E"/>
    <w:rsid w:val="003D262C"/>
    <w:rsid w:val="003D6D61"/>
    <w:rsid w:val="003E091D"/>
    <w:rsid w:val="003E1312"/>
    <w:rsid w:val="003E1C53"/>
    <w:rsid w:val="003E2A69"/>
    <w:rsid w:val="003E2CE4"/>
    <w:rsid w:val="003E2D49"/>
    <w:rsid w:val="003E2FD4"/>
    <w:rsid w:val="003E49F6"/>
    <w:rsid w:val="003F0841"/>
    <w:rsid w:val="003F23D3"/>
    <w:rsid w:val="003F3F08"/>
    <w:rsid w:val="003F49F1"/>
    <w:rsid w:val="003F6272"/>
    <w:rsid w:val="003F72A3"/>
    <w:rsid w:val="00400E72"/>
    <w:rsid w:val="00401400"/>
    <w:rsid w:val="0040333F"/>
    <w:rsid w:val="00404869"/>
    <w:rsid w:val="00404A7F"/>
    <w:rsid w:val="00405884"/>
    <w:rsid w:val="00407D39"/>
    <w:rsid w:val="00407E5F"/>
    <w:rsid w:val="004100B8"/>
    <w:rsid w:val="0041327B"/>
    <w:rsid w:val="0041477A"/>
    <w:rsid w:val="00415E1F"/>
    <w:rsid w:val="004167A3"/>
    <w:rsid w:val="00421BA4"/>
    <w:rsid w:val="0042554C"/>
    <w:rsid w:val="00427080"/>
    <w:rsid w:val="00432DAA"/>
    <w:rsid w:val="0043320A"/>
    <w:rsid w:val="00434305"/>
    <w:rsid w:val="00434A05"/>
    <w:rsid w:val="00435DF7"/>
    <w:rsid w:val="00436CDC"/>
    <w:rsid w:val="0044083F"/>
    <w:rsid w:val="00441AE7"/>
    <w:rsid w:val="00443BC0"/>
    <w:rsid w:val="00444218"/>
    <w:rsid w:val="00445574"/>
    <w:rsid w:val="004467FB"/>
    <w:rsid w:val="00450B1E"/>
    <w:rsid w:val="00452D6B"/>
    <w:rsid w:val="00454484"/>
    <w:rsid w:val="0045517B"/>
    <w:rsid w:val="00455470"/>
    <w:rsid w:val="004637A6"/>
    <w:rsid w:val="00463B77"/>
    <w:rsid w:val="00463C7B"/>
    <w:rsid w:val="004644A6"/>
    <w:rsid w:val="004659BD"/>
    <w:rsid w:val="00470775"/>
    <w:rsid w:val="004715BD"/>
    <w:rsid w:val="00471BBA"/>
    <w:rsid w:val="00474473"/>
    <w:rsid w:val="004746B1"/>
    <w:rsid w:val="0047583F"/>
    <w:rsid w:val="00484822"/>
    <w:rsid w:val="00484936"/>
    <w:rsid w:val="00485C89"/>
    <w:rsid w:val="00486BE3"/>
    <w:rsid w:val="004905E4"/>
    <w:rsid w:val="00490A89"/>
    <w:rsid w:val="00490AB4"/>
    <w:rsid w:val="00490C13"/>
    <w:rsid w:val="004920D8"/>
    <w:rsid w:val="00492F02"/>
    <w:rsid w:val="00493961"/>
    <w:rsid w:val="004939AE"/>
    <w:rsid w:val="0049536F"/>
    <w:rsid w:val="00497CE8"/>
    <w:rsid w:val="004A12DF"/>
    <w:rsid w:val="004A1BA8"/>
    <w:rsid w:val="004A20BE"/>
    <w:rsid w:val="004A22D5"/>
    <w:rsid w:val="004A4B57"/>
    <w:rsid w:val="004A63FA"/>
    <w:rsid w:val="004B0272"/>
    <w:rsid w:val="004B1838"/>
    <w:rsid w:val="004B2701"/>
    <w:rsid w:val="004B2E1B"/>
    <w:rsid w:val="004B38B1"/>
    <w:rsid w:val="004B3E93"/>
    <w:rsid w:val="004B6DDF"/>
    <w:rsid w:val="004C078D"/>
    <w:rsid w:val="004C0FC8"/>
    <w:rsid w:val="004C1FBC"/>
    <w:rsid w:val="004C3F1D"/>
    <w:rsid w:val="004C458D"/>
    <w:rsid w:val="004C7556"/>
    <w:rsid w:val="004C7E9D"/>
    <w:rsid w:val="004C7F67"/>
    <w:rsid w:val="004D076D"/>
    <w:rsid w:val="004D0EF1"/>
    <w:rsid w:val="004D189E"/>
    <w:rsid w:val="004D2253"/>
    <w:rsid w:val="004D2F0A"/>
    <w:rsid w:val="004D310E"/>
    <w:rsid w:val="004D4406"/>
    <w:rsid w:val="004D4B55"/>
    <w:rsid w:val="004D7C42"/>
    <w:rsid w:val="004E0465"/>
    <w:rsid w:val="004E127B"/>
    <w:rsid w:val="004E1C0A"/>
    <w:rsid w:val="004E30C5"/>
    <w:rsid w:val="004E4AA5"/>
    <w:rsid w:val="004E4AEE"/>
    <w:rsid w:val="004E59E3"/>
    <w:rsid w:val="004E67C0"/>
    <w:rsid w:val="004F056E"/>
    <w:rsid w:val="004F0B45"/>
    <w:rsid w:val="004F1823"/>
    <w:rsid w:val="004F2A44"/>
    <w:rsid w:val="004F391A"/>
    <w:rsid w:val="004F3CFB"/>
    <w:rsid w:val="004F4B4C"/>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9F0"/>
    <w:rsid w:val="00516B0B"/>
    <w:rsid w:val="005207F4"/>
    <w:rsid w:val="005213AB"/>
    <w:rsid w:val="005220EC"/>
    <w:rsid w:val="00523F95"/>
    <w:rsid w:val="00524D65"/>
    <w:rsid w:val="00525B16"/>
    <w:rsid w:val="0053122B"/>
    <w:rsid w:val="00531406"/>
    <w:rsid w:val="00533D04"/>
    <w:rsid w:val="00534804"/>
    <w:rsid w:val="00534BDF"/>
    <w:rsid w:val="005354EA"/>
    <w:rsid w:val="00535EC4"/>
    <w:rsid w:val="00535ED9"/>
    <w:rsid w:val="0053692B"/>
    <w:rsid w:val="00537EAA"/>
    <w:rsid w:val="00541853"/>
    <w:rsid w:val="00543BDA"/>
    <w:rsid w:val="005441CC"/>
    <w:rsid w:val="00547052"/>
    <w:rsid w:val="005473DB"/>
    <w:rsid w:val="005479DA"/>
    <w:rsid w:val="00547BCC"/>
    <w:rsid w:val="0055013B"/>
    <w:rsid w:val="005519CF"/>
    <w:rsid w:val="00551F6F"/>
    <w:rsid w:val="00555044"/>
    <w:rsid w:val="00555300"/>
    <w:rsid w:val="00561475"/>
    <w:rsid w:val="005632C0"/>
    <w:rsid w:val="0056487B"/>
    <w:rsid w:val="00564FB9"/>
    <w:rsid w:val="005673F8"/>
    <w:rsid w:val="0056780B"/>
    <w:rsid w:val="0057135F"/>
    <w:rsid w:val="0057343B"/>
    <w:rsid w:val="00573779"/>
    <w:rsid w:val="00573D9E"/>
    <w:rsid w:val="00573FB2"/>
    <w:rsid w:val="00575AFC"/>
    <w:rsid w:val="005801E3"/>
    <w:rsid w:val="00580D80"/>
    <w:rsid w:val="00581802"/>
    <w:rsid w:val="005836A8"/>
    <w:rsid w:val="0058409C"/>
    <w:rsid w:val="00584262"/>
    <w:rsid w:val="00584BC0"/>
    <w:rsid w:val="00586630"/>
    <w:rsid w:val="005879E8"/>
    <w:rsid w:val="00587ADD"/>
    <w:rsid w:val="0059107C"/>
    <w:rsid w:val="00591122"/>
    <w:rsid w:val="00594C70"/>
    <w:rsid w:val="00595D38"/>
    <w:rsid w:val="00596160"/>
    <w:rsid w:val="005966E2"/>
    <w:rsid w:val="00596873"/>
    <w:rsid w:val="00597007"/>
    <w:rsid w:val="00597914"/>
    <w:rsid w:val="005A0966"/>
    <w:rsid w:val="005A11B7"/>
    <w:rsid w:val="005A260B"/>
    <w:rsid w:val="005A4A1B"/>
    <w:rsid w:val="005A5FE6"/>
    <w:rsid w:val="005A67C1"/>
    <w:rsid w:val="005A7830"/>
    <w:rsid w:val="005A7FCE"/>
    <w:rsid w:val="005B0F3F"/>
    <w:rsid w:val="005B1A05"/>
    <w:rsid w:val="005B38AE"/>
    <w:rsid w:val="005B4566"/>
    <w:rsid w:val="005B4903"/>
    <w:rsid w:val="005B51CE"/>
    <w:rsid w:val="005B5885"/>
    <w:rsid w:val="005B5CD7"/>
    <w:rsid w:val="005B6CF6"/>
    <w:rsid w:val="005B7422"/>
    <w:rsid w:val="005C1848"/>
    <w:rsid w:val="005C29B8"/>
    <w:rsid w:val="005C5F21"/>
    <w:rsid w:val="005C7156"/>
    <w:rsid w:val="005D0C75"/>
    <w:rsid w:val="005D0E91"/>
    <w:rsid w:val="005D1E63"/>
    <w:rsid w:val="005D4121"/>
    <w:rsid w:val="005D4171"/>
    <w:rsid w:val="005D452A"/>
    <w:rsid w:val="005D6A95"/>
    <w:rsid w:val="005D6B2C"/>
    <w:rsid w:val="005D6D9C"/>
    <w:rsid w:val="005E2335"/>
    <w:rsid w:val="005E34CA"/>
    <w:rsid w:val="005E3C18"/>
    <w:rsid w:val="005E6812"/>
    <w:rsid w:val="005E7829"/>
    <w:rsid w:val="005E7881"/>
    <w:rsid w:val="005E78E0"/>
    <w:rsid w:val="005F0D9C"/>
    <w:rsid w:val="005F284E"/>
    <w:rsid w:val="005F7D36"/>
    <w:rsid w:val="00601127"/>
    <w:rsid w:val="006015CE"/>
    <w:rsid w:val="00602123"/>
    <w:rsid w:val="00603CF0"/>
    <w:rsid w:val="00604774"/>
    <w:rsid w:val="00604784"/>
    <w:rsid w:val="00606419"/>
    <w:rsid w:val="00607D29"/>
    <w:rsid w:val="006113F2"/>
    <w:rsid w:val="00612952"/>
    <w:rsid w:val="00612C7C"/>
    <w:rsid w:val="0061331A"/>
    <w:rsid w:val="006146D2"/>
    <w:rsid w:val="00614CC1"/>
    <w:rsid w:val="00615A9D"/>
    <w:rsid w:val="00617251"/>
    <w:rsid w:val="00617387"/>
    <w:rsid w:val="00624C3D"/>
    <w:rsid w:val="006252D8"/>
    <w:rsid w:val="006259BC"/>
    <w:rsid w:val="006260A4"/>
    <w:rsid w:val="0062636B"/>
    <w:rsid w:val="00627E6C"/>
    <w:rsid w:val="006311CC"/>
    <w:rsid w:val="00632182"/>
    <w:rsid w:val="00632AE0"/>
    <w:rsid w:val="00633351"/>
    <w:rsid w:val="00633C17"/>
    <w:rsid w:val="00634D1F"/>
    <w:rsid w:val="00636E3E"/>
    <w:rsid w:val="006379F7"/>
    <w:rsid w:val="00637E4D"/>
    <w:rsid w:val="00640620"/>
    <w:rsid w:val="00641A1F"/>
    <w:rsid w:val="00643576"/>
    <w:rsid w:val="00645251"/>
    <w:rsid w:val="0064528D"/>
    <w:rsid w:val="00645904"/>
    <w:rsid w:val="00651ACB"/>
    <w:rsid w:val="00651C47"/>
    <w:rsid w:val="00652132"/>
    <w:rsid w:val="00652AB2"/>
    <w:rsid w:val="006530E7"/>
    <w:rsid w:val="00654EC0"/>
    <w:rsid w:val="00654FA7"/>
    <w:rsid w:val="0065525B"/>
    <w:rsid w:val="00655D4F"/>
    <w:rsid w:val="00662802"/>
    <w:rsid w:val="006640E5"/>
    <w:rsid w:val="006646F1"/>
    <w:rsid w:val="00664929"/>
    <w:rsid w:val="00664F62"/>
    <w:rsid w:val="006655E1"/>
    <w:rsid w:val="0066799C"/>
    <w:rsid w:val="00672060"/>
    <w:rsid w:val="0067261E"/>
    <w:rsid w:val="00672B65"/>
    <w:rsid w:val="00672BFD"/>
    <w:rsid w:val="00673726"/>
    <w:rsid w:val="006737E8"/>
    <w:rsid w:val="006770F4"/>
    <w:rsid w:val="00677A84"/>
    <w:rsid w:val="0068026D"/>
    <w:rsid w:val="00680A27"/>
    <w:rsid w:val="006816A4"/>
    <w:rsid w:val="006819B8"/>
    <w:rsid w:val="006840A6"/>
    <w:rsid w:val="006850CD"/>
    <w:rsid w:val="00685AAB"/>
    <w:rsid w:val="0068635A"/>
    <w:rsid w:val="006A07AA"/>
    <w:rsid w:val="006A25E5"/>
    <w:rsid w:val="006A2B46"/>
    <w:rsid w:val="006A336D"/>
    <w:rsid w:val="006A37B9"/>
    <w:rsid w:val="006A7E15"/>
    <w:rsid w:val="006B059D"/>
    <w:rsid w:val="006B0CED"/>
    <w:rsid w:val="006B2672"/>
    <w:rsid w:val="006B43CF"/>
    <w:rsid w:val="006B54BF"/>
    <w:rsid w:val="006B5F44"/>
    <w:rsid w:val="006B5F90"/>
    <w:rsid w:val="006B62E4"/>
    <w:rsid w:val="006B649A"/>
    <w:rsid w:val="006B7562"/>
    <w:rsid w:val="006C024C"/>
    <w:rsid w:val="006C1BBA"/>
    <w:rsid w:val="006C2079"/>
    <w:rsid w:val="006C26B5"/>
    <w:rsid w:val="006C5A62"/>
    <w:rsid w:val="006C5D68"/>
    <w:rsid w:val="006C6976"/>
    <w:rsid w:val="006C6DD0"/>
    <w:rsid w:val="006D04EA"/>
    <w:rsid w:val="006D07FA"/>
    <w:rsid w:val="006D16C4"/>
    <w:rsid w:val="006D3ADE"/>
    <w:rsid w:val="006D3E96"/>
    <w:rsid w:val="006D4515"/>
    <w:rsid w:val="006D4BB1"/>
    <w:rsid w:val="006D584D"/>
    <w:rsid w:val="006D6593"/>
    <w:rsid w:val="006D7BF4"/>
    <w:rsid w:val="006E132F"/>
    <w:rsid w:val="006E1E11"/>
    <w:rsid w:val="006E3543"/>
    <w:rsid w:val="006E7205"/>
    <w:rsid w:val="006F03A8"/>
    <w:rsid w:val="006F126C"/>
    <w:rsid w:val="006F2ACA"/>
    <w:rsid w:val="006F2ADC"/>
    <w:rsid w:val="006F2BFE"/>
    <w:rsid w:val="006F31E9"/>
    <w:rsid w:val="006F56E5"/>
    <w:rsid w:val="006F6284"/>
    <w:rsid w:val="006F7F28"/>
    <w:rsid w:val="007002C5"/>
    <w:rsid w:val="0070069B"/>
    <w:rsid w:val="0070348B"/>
    <w:rsid w:val="00704387"/>
    <w:rsid w:val="00706E58"/>
    <w:rsid w:val="00707669"/>
    <w:rsid w:val="00707A2D"/>
    <w:rsid w:val="00711CBA"/>
    <w:rsid w:val="00711FB5"/>
    <w:rsid w:val="00712A01"/>
    <w:rsid w:val="007148EF"/>
    <w:rsid w:val="00714F58"/>
    <w:rsid w:val="00715845"/>
    <w:rsid w:val="007220B4"/>
    <w:rsid w:val="00722FBF"/>
    <w:rsid w:val="00722FC2"/>
    <w:rsid w:val="00723D0B"/>
    <w:rsid w:val="00725949"/>
    <w:rsid w:val="00727FA2"/>
    <w:rsid w:val="007322D9"/>
    <w:rsid w:val="00732BC0"/>
    <w:rsid w:val="00734564"/>
    <w:rsid w:val="0073720F"/>
    <w:rsid w:val="00737796"/>
    <w:rsid w:val="0074165C"/>
    <w:rsid w:val="00742C35"/>
    <w:rsid w:val="007432CA"/>
    <w:rsid w:val="007439EB"/>
    <w:rsid w:val="00743CB4"/>
    <w:rsid w:val="00743F0A"/>
    <w:rsid w:val="007444E8"/>
    <w:rsid w:val="0074548E"/>
    <w:rsid w:val="00745773"/>
    <w:rsid w:val="00746800"/>
    <w:rsid w:val="00746B49"/>
    <w:rsid w:val="00746DE9"/>
    <w:rsid w:val="007501A8"/>
    <w:rsid w:val="00750EE1"/>
    <w:rsid w:val="007522FC"/>
    <w:rsid w:val="00752B4D"/>
    <w:rsid w:val="007547E8"/>
    <w:rsid w:val="00755402"/>
    <w:rsid w:val="00756B26"/>
    <w:rsid w:val="00756EDF"/>
    <w:rsid w:val="0076193C"/>
    <w:rsid w:val="00762EED"/>
    <w:rsid w:val="00763661"/>
    <w:rsid w:val="0076384A"/>
    <w:rsid w:val="00765C43"/>
    <w:rsid w:val="00765EFB"/>
    <w:rsid w:val="00766CC1"/>
    <w:rsid w:val="007671CA"/>
    <w:rsid w:val="0076744F"/>
    <w:rsid w:val="007678AC"/>
    <w:rsid w:val="00767C61"/>
    <w:rsid w:val="0077008A"/>
    <w:rsid w:val="00773C1F"/>
    <w:rsid w:val="00774DA4"/>
    <w:rsid w:val="00776599"/>
    <w:rsid w:val="0078114B"/>
    <w:rsid w:val="00781DD2"/>
    <w:rsid w:val="007838BC"/>
    <w:rsid w:val="00783BB4"/>
    <w:rsid w:val="00783ECF"/>
    <w:rsid w:val="0078413A"/>
    <w:rsid w:val="0079026D"/>
    <w:rsid w:val="00790B2C"/>
    <w:rsid w:val="00792585"/>
    <w:rsid w:val="007959E8"/>
    <w:rsid w:val="00795E9C"/>
    <w:rsid w:val="00797629"/>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0A31"/>
    <w:rsid w:val="007C1FF5"/>
    <w:rsid w:val="007C2D89"/>
    <w:rsid w:val="007C39C4"/>
    <w:rsid w:val="007C4593"/>
    <w:rsid w:val="007C5309"/>
    <w:rsid w:val="007C6069"/>
    <w:rsid w:val="007C6440"/>
    <w:rsid w:val="007D06C4"/>
    <w:rsid w:val="007D1352"/>
    <w:rsid w:val="007D20DD"/>
    <w:rsid w:val="007D2508"/>
    <w:rsid w:val="007D2AD3"/>
    <w:rsid w:val="007D346A"/>
    <w:rsid w:val="007D3934"/>
    <w:rsid w:val="007D6518"/>
    <w:rsid w:val="007D76BD"/>
    <w:rsid w:val="007D7902"/>
    <w:rsid w:val="007D7AF4"/>
    <w:rsid w:val="007E0BF1"/>
    <w:rsid w:val="007E4867"/>
    <w:rsid w:val="007E4FDF"/>
    <w:rsid w:val="007E5CC9"/>
    <w:rsid w:val="007F0ED8"/>
    <w:rsid w:val="007F0F63"/>
    <w:rsid w:val="007F3BCF"/>
    <w:rsid w:val="007F487A"/>
    <w:rsid w:val="007F5639"/>
    <w:rsid w:val="007F5967"/>
    <w:rsid w:val="007F75CE"/>
    <w:rsid w:val="008013A4"/>
    <w:rsid w:val="008027CE"/>
    <w:rsid w:val="00802F42"/>
    <w:rsid w:val="00804383"/>
    <w:rsid w:val="00804BB7"/>
    <w:rsid w:val="00804E67"/>
    <w:rsid w:val="00810257"/>
    <w:rsid w:val="008104F5"/>
    <w:rsid w:val="00811072"/>
    <w:rsid w:val="00811369"/>
    <w:rsid w:val="00811A34"/>
    <w:rsid w:val="00815419"/>
    <w:rsid w:val="008163C8"/>
    <w:rsid w:val="008164A1"/>
    <w:rsid w:val="00817325"/>
    <w:rsid w:val="008207F0"/>
    <w:rsid w:val="008209E6"/>
    <w:rsid w:val="00823303"/>
    <w:rsid w:val="008233B2"/>
    <w:rsid w:val="00823A9F"/>
    <w:rsid w:val="00823C85"/>
    <w:rsid w:val="00825138"/>
    <w:rsid w:val="008269DD"/>
    <w:rsid w:val="00830546"/>
    <w:rsid w:val="00830621"/>
    <w:rsid w:val="00832E75"/>
    <w:rsid w:val="0083348C"/>
    <w:rsid w:val="008359D9"/>
    <w:rsid w:val="008373D3"/>
    <w:rsid w:val="00840617"/>
    <w:rsid w:val="00841167"/>
    <w:rsid w:val="00842A47"/>
    <w:rsid w:val="00843C13"/>
    <w:rsid w:val="008454F8"/>
    <w:rsid w:val="00847D2C"/>
    <w:rsid w:val="0085173A"/>
    <w:rsid w:val="00852265"/>
    <w:rsid w:val="00854343"/>
    <w:rsid w:val="008603CE"/>
    <w:rsid w:val="008620FC"/>
    <w:rsid w:val="008627A5"/>
    <w:rsid w:val="00863E05"/>
    <w:rsid w:val="00865ACA"/>
    <w:rsid w:val="00865D28"/>
    <w:rsid w:val="00865F85"/>
    <w:rsid w:val="00867C10"/>
    <w:rsid w:val="00870439"/>
    <w:rsid w:val="00870DA1"/>
    <w:rsid w:val="00874C2B"/>
    <w:rsid w:val="008806A5"/>
    <w:rsid w:val="00882170"/>
    <w:rsid w:val="00882ECF"/>
    <w:rsid w:val="00883480"/>
    <w:rsid w:val="00883F93"/>
    <w:rsid w:val="00884DB3"/>
    <w:rsid w:val="00885A9D"/>
    <w:rsid w:val="008860A1"/>
    <w:rsid w:val="008864F6"/>
    <w:rsid w:val="00887268"/>
    <w:rsid w:val="0089049D"/>
    <w:rsid w:val="00890E83"/>
    <w:rsid w:val="008915AC"/>
    <w:rsid w:val="008928C9"/>
    <w:rsid w:val="0089367F"/>
    <w:rsid w:val="008938DC"/>
    <w:rsid w:val="00893FD1"/>
    <w:rsid w:val="00894836"/>
    <w:rsid w:val="00895172"/>
    <w:rsid w:val="00895680"/>
    <w:rsid w:val="00896DFF"/>
    <w:rsid w:val="0089762C"/>
    <w:rsid w:val="008A1893"/>
    <w:rsid w:val="008A5A12"/>
    <w:rsid w:val="008A769A"/>
    <w:rsid w:val="008B0C9C"/>
    <w:rsid w:val="008B1549"/>
    <w:rsid w:val="008B166D"/>
    <w:rsid w:val="008B17F4"/>
    <w:rsid w:val="008B3615"/>
    <w:rsid w:val="008B3878"/>
    <w:rsid w:val="008B4AC4"/>
    <w:rsid w:val="008B50C8"/>
    <w:rsid w:val="008B5281"/>
    <w:rsid w:val="008B5E60"/>
    <w:rsid w:val="008B75D9"/>
    <w:rsid w:val="008B7E05"/>
    <w:rsid w:val="008C04ED"/>
    <w:rsid w:val="008C1797"/>
    <w:rsid w:val="008C219C"/>
    <w:rsid w:val="008C3F1D"/>
    <w:rsid w:val="008C475E"/>
    <w:rsid w:val="008C619A"/>
    <w:rsid w:val="008D0CE8"/>
    <w:rsid w:val="008D2D1D"/>
    <w:rsid w:val="008D3A9B"/>
    <w:rsid w:val="008D3E97"/>
    <w:rsid w:val="008D453D"/>
    <w:rsid w:val="008D4EEB"/>
    <w:rsid w:val="008D53AD"/>
    <w:rsid w:val="008D562B"/>
    <w:rsid w:val="008D5733"/>
    <w:rsid w:val="008D622B"/>
    <w:rsid w:val="008D666C"/>
    <w:rsid w:val="008D6C80"/>
    <w:rsid w:val="008D7B54"/>
    <w:rsid w:val="008E0C9D"/>
    <w:rsid w:val="008E1648"/>
    <w:rsid w:val="008E1B3E"/>
    <w:rsid w:val="008E2319"/>
    <w:rsid w:val="008E4BB6"/>
    <w:rsid w:val="008E5518"/>
    <w:rsid w:val="008E6A84"/>
    <w:rsid w:val="008F0CDC"/>
    <w:rsid w:val="008F128C"/>
    <w:rsid w:val="008F17A3"/>
    <w:rsid w:val="008F1ED3"/>
    <w:rsid w:val="008F3538"/>
    <w:rsid w:val="008F402C"/>
    <w:rsid w:val="008F4C29"/>
    <w:rsid w:val="008F6DCE"/>
    <w:rsid w:val="008F70BD"/>
    <w:rsid w:val="008F72C3"/>
    <w:rsid w:val="008F788F"/>
    <w:rsid w:val="008F7EA2"/>
    <w:rsid w:val="008F7FE5"/>
    <w:rsid w:val="00900F69"/>
    <w:rsid w:val="00902722"/>
    <w:rsid w:val="009027BC"/>
    <w:rsid w:val="00903279"/>
    <w:rsid w:val="00903F91"/>
    <w:rsid w:val="009062E6"/>
    <w:rsid w:val="00910C94"/>
    <w:rsid w:val="00911BE5"/>
    <w:rsid w:val="009136B3"/>
    <w:rsid w:val="00913CA9"/>
    <w:rsid w:val="009145AE"/>
    <w:rsid w:val="009146CE"/>
    <w:rsid w:val="00914CA7"/>
    <w:rsid w:val="00915C3E"/>
    <w:rsid w:val="009160BC"/>
    <w:rsid w:val="009161A8"/>
    <w:rsid w:val="00917354"/>
    <w:rsid w:val="00917373"/>
    <w:rsid w:val="009206FC"/>
    <w:rsid w:val="00922F0D"/>
    <w:rsid w:val="009245F5"/>
    <w:rsid w:val="009249EC"/>
    <w:rsid w:val="009273B3"/>
    <w:rsid w:val="009305B5"/>
    <w:rsid w:val="00932F2D"/>
    <w:rsid w:val="00935974"/>
    <w:rsid w:val="00936F22"/>
    <w:rsid w:val="009429D5"/>
    <w:rsid w:val="00942BF1"/>
    <w:rsid w:val="00945180"/>
    <w:rsid w:val="00945428"/>
    <w:rsid w:val="0094607B"/>
    <w:rsid w:val="00950220"/>
    <w:rsid w:val="00951470"/>
    <w:rsid w:val="00953604"/>
    <w:rsid w:val="0095496B"/>
    <w:rsid w:val="00957187"/>
    <w:rsid w:val="00957902"/>
    <w:rsid w:val="009610DC"/>
    <w:rsid w:val="00961490"/>
    <w:rsid w:val="009621DF"/>
    <w:rsid w:val="0096381A"/>
    <w:rsid w:val="00965E04"/>
    <w:rsid w:val="009674AD"/>
    <w:rsid w:val="00970CDC"/>
    <w:rsid w:val="00972B68"/>
    <w:rsid w:val="009732DC"/>
    <w:rsid w:val="00974268"/>
    <w:rsid w:val="00977010"/>
    <w:rsid w:val="00977D02"/>
    <w:rsid w:val="009808D3"/>
    <w:rsid w:val="009809BB"/>
    <w:rsid w:val="00982FDD"/>
    <w:rsid w:val="0098364B"/>
    <w:rsid w:val="00987877"/>
    <w:rsid w:val="00990B64"/>
    <w:rsid w:val="009911AF"/>
    <w:rsid w:val="00991875"/>
    <w:rsid w:val="00991F92"/>
    <w:rsid w:val="00992985"/>
    <w:rsid w:val="00993889"/>
    <w:rsid w:val="0099551B"/>
    <w:rsid w:val="009971DA"/>
    <w:rsid w:val="00997BF1"/>
    <w:rsid w:val="009A089C"/>
    <w:rsid w:val="009A118E"/>
    <w:rsid w:val="009A21CD"/>
    <w:rsid w:val="009A278C"/>
    <w:rsid w:val="009A2BC2"/>
    <w:rsid w:val="009A42C1"/>
    <w:rsid w:val="009A5429"/>
    <w:rsid w:val="009A72AD"/>
    <w:rsid w:val="009B09E0"/>
    <w:rsid w:val="009B0BC5"/>
    <w:rsid w:val="009B1247"/>
    <w:rsid w:val="009B2A7B"/>
    <w:rsid w:val="009B6029"/>
    <w:rsid w:val="009B6971"/>
    <w:rsid w:val="009B7E47"/>
    <w:rsid w:val="009C27F1"/>
    <w:rsid w:val="009C2EB1"/>
    <w:rsid w:val="009C3152"/>
    <w:rsid w:val="009C4CFA"/>
    <w:rsid w:val="009C5070"/>
    <w:rsid w:val="009D0570"/>
    <w:rsid w:val="009D0953"/>
    <w:rsid w:val="009D112C"/>
    <w:rsid w:val="009D2012"/>
    <w:rsid w:val="009D47FA"/>
    <w:rsid w:val="009D50D2"/>
    <w:rsid w:val="009D6BCA"/>
    <w:rsid w:val="009D72B9"/>
    <w:rsid w:val="009D774B"/>
    <w:rsid w:val="009E0F62"/>
    <w:rsid w:val="009E1848"/>
    <w:rsid w:val="009E3710"/>
    <w:rsid w:val="009E3C49"/>
    <w:rsid w:val="009E4A58"/>
    <w:rsid w:val="009E5233"/>
    <w:rsid w:val="009E5A2D"/>
    <w:rsid w:val="009E5AB2"/>
    <w:rsid w:val="009E6219"/>
    <w:rsid w:val="009F03B3"/>
    <w:rsid w:val="009F045B"/>
    <w:rsid w:val="009F5FC3"/>
    <w:rsid w:val="00A0083F"/>
    <w:rsid w:val="00A01757"/>
    <w:rsid w:val="00A02269"/>
    <w:rsid w:val="00A028C0"/>
    <w:rsid w:val="00A02BAE"/>
    <w:rsid w:val="00A036E5"/>
    <w:rsid w:val="00A05AA6"/>
    <w:rsid w:val="00A06A6B"/>
    <w:rsid w:val="00A07E47"/>
    <w:rsid w:val="00A129D0"/>
    <w:rsid w:val="00A12C33"/>
    <w:rsid w:val="00A138BA"/>
    <w:rsid w:val="00A14C8E"/>
    <w:rsid w:val="00A153D9"/>
    <w:rsid w:val="00A15F09"/>
    <w:rsid w:val="00A169B6"/>
    <w:rsid w:val="00A2271D"/>
    <w:rsid w:val="00A237D5"/>
    <w:rsid w:val="00A30262"/>
    <w:rsid w:val="00A30EFC"/>
    <w:rsid w:val="00A31984"/>
    <w:rsid w:val="00A32D73"/>
    <w:rsid w:val="00A3367B"/>
    <w:rsid w:val="00A3597D"/>
    <w:rsid w:val="00A36539"/>
    <w:rsid w:val="00A4001E"/>
    <w:rsid w:val="00A4006C"/>
    <w:rsid w:val="00A40091"/>
    <w:rsid w:val="00A401A2"/>
    <w:rsid w:val="00A4030F"/>
    <w:rsid w:val="00A4169B"/>
    <w:rsid w:val="00A41C79"/>
    <w:rsid w:val="00A41CB5"/>
    <w:rsid w:val="00A41FFD"/>
    <w:rsid w:val="00A42CDF"/>
    <w:rsid w:val="00A4452E"/>
    <w:rsid w:val="00A4472C"/>
    <w:rsid w:val="00A44E69"/>
    <w:rsid w:val="00A4661E"/>
    <w:rsid w:val="00A506DC"/>
    <w:rsid w:val="00A53ECE"/>
    <w:rsid w:val="00A55BD6"/>
    <w:rsid w:val="00A55D50"/>
    <w:rsid w:val="00A57142"/>
    <w:rsid w:val="00A62FC3"/>
    <w:rsid w:val="00A648CD"/>
    <w:rsid w:val="00A6537A"/>
    <w:rsid w:val="00A67866"/>
    <w:rsid w:val="00A70B07"/>
    <w:rsid w:val="00A723F8"/>
    <w:rsid w:val="00A77CCB"/>
    <w:rsid w:val="00A80948"/>
    <w:rsid w:val="00A83D8D"/>
    <w:rsid w:val="00A8446B"/>
    <w:rsid w:val="00A8473F"/>
    <w:rsid w:val="00A84770"/>
    <w:rsid w:val="00A862D6"/>
    <w:rsid w:val="00A8715E"/>
    <w:rsid w:val="00A87647"/>
    <w:rsid w:val="00A9295B"/>
    <w:rsid w:val="00A929AD"/>
    <w:rsid w:val="00A93B09"/>
    <w:rsid w:val="00A952D7"/>
    <w:rsid w:val="00A963F7"/>
    <w:rsid w:val="00A96AD8"/>
    <w:rsid w:val="00AA052C"/>
    <w:rsid w:val="00AA052D"/>
    <w:rsid w:val="00AA1AD9"/>
    <w:rsid w:val="00AA1E45"/>
    <w:rsid w:val="00AA2224"/>
    <w:rsid w:val="00AA4286"/>
    <w:rsid w:val="00AA456B"/>
    <w:rsid w:val="00AA57F5"/>
    <w:rsid w:val="00AA672E"/>
    <w:rsid w:val="00AA6C57"/>
    <w:rsid w:val="00AA6EC9"/>
    <w:rsid w:val="00AB380F"/>
    <w:rsid w:val="00AB6309"/>
    <w:rsid w:val="00AB6C5F"/>
    <w:rsid w:val="00AB7129"/>
    <w:rsid w:val="00AB74AC"/>
    <w:rsid w:val="00AC27A6"/>
    <w:rsid w:val="00AC2E14"/>
    <w:rsid w:val="00AC30F7"/>
    <w:rsid w:val="00AC3A5A"/>
    <w:rsid w:val="00AC4D95"/>
    <w:rsid w:val="00AC5DF4"/>
    <w:rsid w:val="00AD0AEF"/>
    <w:rsid w:val="00AD11B7"/>
    <w:rsid w:val="00AD1A94"/>
    <w:rsid w:val="00AD1C05"/>
    <w:rsid w:val="00AD3E3E"/>
    <w:rsid w:val="00AD4126"/>
    <w:rsid w:val="00AD421C"/>
    <w:rsid w:val="00AD422F"/>
    <w:rsid w:val="00AD44FA"/>
    <w:rsid w:val="00AD5D89"/>
    <w:rsid w:val="00AD6338"/>
    <w:rsid w:val="00AE070A"/>
    <w:rsid w:val="00AE101C"/>
    <w:rsid w:val="00AE3C2F"/>
    <w:rsid w:val="00AE5EB4"/>
    <w:rsid w:val="00AE6594"/>
    <w:rsid w:val="00AF070F"/>
    <w:rsid w:val="00AF0871"/>
    <w:rsid w:val="00AF0C18"/>
    <w:rsid w:val="00AF44AC"/>
    <w:rsid w:val="00AF47C5"/>
    <w:rsid w:val="00AF5398"/>
    <w:rsid w:val="00B01288"/>
    <w:rsid w:val="00B049AF"/>
    <w:rsid w:val="00B07242"/>
    <w:rsid w:val="00B10534"/>
    <w:rsid w:val="00B113DB"/>
    <w:rsid w:val="00B11D8A"/>
    <w:rsid w:val="00B1202C"/>
    <w:rsid w:val="00B12981"/>
    <w:rsid w:val="00B12A81"/>
    <w:rsid w:val="00B147DD"/>
    <w:rsid w:val="00B14823"/>
    <w:rsid w:val="00B14CDD"/>
    <w:rsid w:val="00B156FD"/>
    <w:rsid w:val="00B21F61"/>
    <w:rsid w:val="00B24E3B"/>
    <w:rsid w:val="00B261F1"/>
    <w:rsid w:val="00B26528"/>
    <w:rsid w:val="00B265BC"/>
    <w:rsid w:val="00B26B3F"/>
    <w:rsid w:val="00B31BA2"/>
    <w:rsid w:val="00B31FB1"/>
    <w:rsid w:val="00B33952"/>
    <w:rsid w:val="00B33C5E"/>
    <w:rsid w:val="00B342F4"/>
    <w:rsid w:val="00B34369"/>
    <w:rsid w:val="00B34DC2"/>
    <w:rsid w:val="00B378E5"/>
    <w:rsid w:val="00B4346D"/>
    <w:rsid w:val="00B440F4"/>
    <w:rsid w:val="00B447A5"/>
    <w:rsid w:val="00B45AF7"/>
    <w:rsid w:val="00B4654C"/>
    <w:rsid w:val="00B47293"/>
    <w:rsid w:val="00B50E50"/>
    <w:rsid w:val="00B52120"/>
    <w:rsid w:val="00B54ABC"/>
    <w:rsid w:val="00B55A84"/>
    <w:rsid w:val="00B56FBE"/>
    <w:rsid w:val="00B57383"/>
    <w:rsid w:val="00B62B58"/>
    <w:rsid w:val="00B64424"/>
    <w:rsid w:val="00B65149"/>
    <w:rsid w:val="00B656C2"/>
    <w:rsid w:val="00B66567"/>
    <w:rsid w:val="00B665C4"/>
    <w:rsid w:val="00B66F52"/>
    <w:rsid w:val="00B66FE5"/>
    <w:rsid w:val="00B7217D"/>
    <w:rsid w:val="00B726D3"/>
    <w:rsid w:val="00B72880"/>
    <w:rsid w:val="00B758BF"/>
    <w:rsid w:val="00B826BF"/>
    <w:rsid w:val="00B827A6"/>
    <w:rsid w:val="00B831CE"/>
    <w:rsid w:val="00B86677"/>
    <w:rsid w:val="00B87131"/>
    <w:rsid w:val="00B9150C"/>
    <w:rsid w:val="00B939B1"/>
    <w:rsid w:val="00B94241"/>
    <w:rsid w:val="00B944E8"/>
    <w:rsid w:val="00B9539C"/>
    <w:rsid w:val="00B96D40"/>
    <w:rsid w:val="00B97386"/>
    <w:rsid w:val="00B978DB"/>
    <w:rsid w:val="00BA1865"/>
    <w:rsid w:val="00BA263B"/>
    <w:rsid w:val="00BA42B2"/>
    <w:rsid w:val="00BA58D4"/>
    <w:rsid w:val="00BA5B9E"/>
    <w:rsid w:val="00BA7C9A"/>
    <w:rsid w:val="00BB11CB"/>
    <w:rsid w:val="00BB2674"/>
    <w:rsid w:val="00BB5F8F"/>
    <w:rsid w:val="00BB657A"/>
    <w:rsid w:val="00BC1A4E"/>
    <w:rsid w:val="00BC4861"/>
    <w:rsid w:val="00BC5DC7"/>
    <w:rsid w:val="00BC6B8B"/>
    <w:rsid w:val="00BC73D8"/>
    <w:rsid w:val="00BD52D7"/>
    <w:rsid w:val="00BD5AD2"/>
    <w:rsid w:val="00BD7BFA"/>
    <w:rsid w:val="00BE22F3"/>
    <w:rsid w:val="00BE5B52"/>
    <w:rsid w:val="00BE6780"/>
    <w:rsid w:val="00BE7B8D"/>
    <w:rsid w:val="00BF0993"/>
    <w:rsid w:val="00BF10A9"/>
    <w:rsid w:val="00BF1703"/>
    <w:rsid w:val="00BF231C"/>
    <w:rsid w:val="00BF2E47"/>
    <w:rsid w:val="00BF3338"/>
    <w:rsid w:val="00BF51E5"/>
    <w:rsid w:val="00BF55DD"/>
    <w:rsid w:val="00BF5BC5"/>
    <w:rsid w:val="00BF74A6"/>
    <w:rsid w:val="00C006E0"/>
    <w:rsid w:val="00C013AD"/>
    <w:rsid w:val="00C020FB"/>
    <w:rsid w:val="00C04904"/>
    <w:rsid w:val="00C056B3"/>
    <w:rsid w:val="00C074A1"/>
    <w:rsid w:val="00C103E5"/>
    <w:rsid w:val="00C13319"/>
    <w:rsid w:val="00C13EE9"/>
    <w:rsid w:val="00C13EEC"/>
    <w:rsid w:val="00C17C4C"/>
    <w:rsid w:val="00C20200"/>
    <w:rsid w:val="00C21540"/>
    <w:rsid w:val="00C2173A"/>
    <w:rsid w:val="00C21906"/>
    <w:rsid w:val="00C21BFA"/>
    <w:rsid w:val="00C23FA0"/>
    <w:rsid w:val="00C24C8D"/>
    <w:rsid w:val="00C25FE2"/>
    <w:rsid w:val="00C26B53"/>
    <w:rsid w:val="00C279B2"/>
    <w:rsid w:val="00C327AB"/>
    <w:rsid w:val="00C33042"/>
    <w:rsid w:val="00C33D90"/>
    <w:rsid w:val="00C33E50"/>
    <w:rsid w:val="00C34219"/>
    <w:rsid w:val="00C34C20"/>
    <w:rsid w:val="00C34D84"/>
    <w:rsid w:val="00C35A3E"/>
    <w:rsid w:val="00C410BD"/>
    <w:rsid w:val="00C42130"/>
    <w:rsid w:val="00C423A4"/>
    <w:rsid w:val="00C444C2"/>
    <w:rsid w:val="00C44BF5"/>
    <w:rsid w:val="00C521D6"/>
    <w:rsid w:val="00C534EC"/>
    <w:rsid w:val="00C538BB"/>
    <w:rsid w:val="00C55232"/>
    <w:rsid w:val="00C553A4"/>
    <w:rsid w:val="00C55657"/>
    <w:rsid w:val="00C55A06"/>
    <w:rsid w:val="00C55D03"/>
    <w:rsid w:val="00C5671C"/>
    <w:rsid w:val="00C601BC"/>
    <w:rsid w:val="00C6168C"/>
    <w:rsid w:val="00C6329F"/>
    <w:rsid w:val="00C63340"/>
    <w:rsid w:val="00C643F9"/>
    <w:rsid w:val="00C64E95"/>
    <w:rsid w:val="00C71372"/>
    <w:rsid w:val="00C72410"/>
    <w:rsid w:val="00C7287F"/>
    <w:rsid w:val="00C80CB8"/>
    <w:rsid w:val="00C819F8"/>
    <w:rsid w:val="00C8248C"/>
    <w:rsid w:val="00C8260F"/>
    <w:rsid w:val="00C84E33"/>
    <w:rsid w:val="00C86D6F"/>
    <w:rsid w:val="00C9028F"/>
    <w:rsid w:val="00C905FC"/>
    <w:rsid w:val="00C90E0A"/>
    <w:rsid w:val="00C92D03"/>
    <w:rsid w:val="00C9319C"/>
    <w:rsid w:val="00C9435D"/>
    <w:rsid w:val="00C94872"/>
    <w:rsid w:val="00C95ED6"/>
    <w:rsid w:val="00C96741"/>
    <w:rsid w:val="00C9739C"/>
    <w:rsid w:val="00CA2D1B"/>
    <w:rsid w:val="00CA333D"/>
    <w:rsid w:val="00CA5ED0"/>
    <w:rsid w:val="00CA662A"/>
    <w:rsid w:val="00CA7AFD"/>
    <w:rsid w:val="00CA7C3C"/>
    <w:rsid w:val="00CB0189"/>
    <w:rsid w:val="00CB0BA2"/>
    <w:rsid w:val="00CB1A42"/>
    <w:rsid w:val="00CB1B0C"/>
    <w:rsid w:val="00CB2104"/>
    <w:rsid w:val="00CB2C0B"/>
    <w:rsid w:val="00CB517D"/>
    <w:rsid w:val="00CB6643"/>
    <w:rsid w:val="00CB6CF1"/>
    <w:rsid w:val="00CC038D"/>
    <w:rsid w:val="00CC0E75"/>
    <w:rsid w:val="00CC27FE"/>
    <w:rsid w:val="00CC2B64"/>
    <w:rsid w:val="00CC39FF"/>
    <w:rsid w:val="00CC3C2F"/>
    <w:rsid w:val="00CC4AC8"/>
    <w:rsid w:val="00CC5233"/>
    <w:rsid w:val="00CC5BA5"/>
    <w:rsid w:val="00CC5DE6"/>
    <w:rsid w:val="00CC6E4E"/>
    <w:rsid w:val="00CC6FE8"/>
    <w:rsid w:val="00CC7202"/>
    <w:rsid w:val="00CD2808"/>
    <w:rsid w:val="00CD28BF"/>
    <w:rsid w:val="00CD4092"/>
    <w:rsid w:val="00CD41B9"/>
    <w:rsid w:val="00CD4A20"/>
    <w:rsid w:val="00CD50A1"/>
    <w:rsid w:val="00CD519E"/>
    <w:rsid w:val="00CD5D25"/>
    <w:rsid w:val="00CD6E7F"/>
    <w:rsid w:val="00CE02EB"/>
    <w:rsid w:val="00CE0C4F"/>
    <w:rsid w:val="00CE15A8"/>
    <w:rsid w:val="00CE30EA"/>
    <w:rsid w:val="00CE593F"/>
    <w:rsid w:val="00CE620E"/>
    <w:rsid w:val="00CF048A"/>
    <w:rsid w:val="00CF155A"/>
    <w:rsid w:val="00CF2947"/>
    <w:rsid w:val="00CF4E76"/>
    <w:rsid w:val="00CF686F"/>
    <w:rsid w:val="00CF6D84"/>
    <w:rsid w:val="00CF6E60"/>
    <w:rsid w:val="00CF7BCA"/>
    <w:rsid w:val="00D008FD"/>
    <w:rsid w:val="00D01D67"/>
    <w:rsid w:val="00D01DF9"/>
    <w:rsid w:val="00D01F99"/>
    <w:rsid w:val="00D0321C"/>
    <w:rsid w:val="00D035EC"/>
    <w:rsid w:val="00D04B28"/>
    <w:rsid w:val="00D04EDE"/>
    <w:rsid w:val="00D06AB1"/>
    <w:rsid w:val="00D072ED"/>
    <w:rsid w:val="00D07A16"/>
    <w:rsid w:val="00D1067E"/>
    <w:rsid w:val="00D1072F"/>
    <w:rsid w:val="00D10F50"/>
    <w:rsid w:val="00D11272"/>
    <w:rsid w:val="00D126F5"/>
    <w:rsid w:val="00D1489E"/>
    <w:rsid w:val="00D20737"/>
    <w:rsid w:val="00D20C67"/>
    <w:rsid w:val="00D21E81"/>
    <w:rsid w:val="00D223DE"/>
    <w:rsid w:val="00D25E37"/>
    <w:rsid w:val="00D2661A"/>
    <w:rsid w:val="00D27582"/>
    <w:rsid w:val="00D2771E"/>
    <w:rsid w:val="00D32719"/>
    <w:rsid w:val="00D33333"/>
    <w:rsid w:val="00D34862"/>
    <w:rsid w:val="00D34CB7"/>
    <w:rsid w:val="00D352A2"/>
    <w:rsid w:val="00D4162B"/>
    <w:rsid w:val="00D4190D"/>
    <w:rsid w:val="00D4414C"/>
    <w:rsid w:val="00D4514F"/>
    <w:rsid w:val="00D451E2"/>
    <w:rsid w:val="00D45E89"/>
    <w:rsid w:val="00D45E8D"/>
    <w:rsid w:val="00D466AE"/>
    <w:rsid w:val="00D4734F"/>
    <w:rsid w:val="00D47EB6"/>
    <w:rsid w:val="00D51BF3"/>
    <w:rsid w:val="00D53FD8"/>
    <w:rsid w:val="00D54B98"/>
    <w:rsid w:val="00D552C6"/>
    <w:rsid w:val="00D57E54"/>
    <w:rsid w:val="00D6356C"/>
    <w:rsid w:val="00D66846"/>
    <w:rsid w:val="00D675FB"/>
    <w:rsid w:val="00D7138C"/>
    <w:rsid w:val="00D7165F"/>
    <w:rsid w:val="00D71805"/>
    <w:rsid w:val="00D71F25"/>
    <w:rsid w:val="00D76C96"/>
    <w:rsid w:val="00D76F20"/>
    <w:rsid w:val="00D77031"/>
    <w:rsid w:val="00D81491"/>
    <w:rsid w:val="00D846E6"/>
    <w:rsid w:val="00D84941"/>
    <w:rsid w:val="00D84FA1"/>
    <w:rsid w:val="00D851F0"/>
    <w:rsid w:val="00D86DB7"/>
    <w:rsid w:val="00D9060C"/>
    <w:rsid w:val="00D911ED"/>
    <w:rsid w:val="00D926D0"/>
    <w:rsid w:val="00D93030"/>
    <w:rsid w:val="00D932E6"/>
    <w:rsid w:val="00D94F7A"/>
    <w:rsid w:val="00D950E1"/>
    <w:rsid w:val="00D952A6"/>
    <w:rsid w:val="00D97F99"/>
    <w:rsid w:val="00DA05AA"/>
    <w:rsid w:val="00DA1E08"/>
    <w:rsid w:val="00DA24F8"/>
    <w:rsid w:val="00DA28E8"/>
    <w:rsid w:val="00DA38D3"/>
    <w:rsid w:val="00DA3932"/>
    <w:rsid w:val="00DA3AFC"/>
    <w:rsid w:val="00DA58F2"/>
    <w:rsid w:val="00DA64F8"/>
    <w:rsid w:val="00DA6C15"/>
    <w:rsid w:val="00DB38EE"/>
    <w:rsid w:val="00DB3B9F"/>
    <w:rsid w:val="00DB498B"/>
    <w:rsid w:val="00DB66CA"/>
    <w:rsid w:val="00DB6BCA"/>
    <w:rsid w:val="00DB7113"/>
    <w:rsid w:val="00DC0321"/>
    <w:rsid w:val="00DC06CE"/>
    <w:rsid w:val="00DC27E5"/>
    <w:rsid w:val="00DC3067"/>
    <w:rsid w:val="00DC370B"/>
    <w:rsid w:val="00DC5B90"/>
    <w:rsid w:val="00DC5C8B"/>
    <w:rsid w:val="00DD00FF"/>
    <w:rsid w:val="00DD0619"/>
    <w:rsid w:val="00DD07FB"/>
    <w:rsid w:val="00DD1B04"/>
    <w:rsid w:val="00DD25C6"/>
    <w:rsid w:val="00DD3F84"/>
    <w:rsid w:val="00DD4FE5"/>
    <w:rsid w:val="00DD54B0"/>
    <w:rsid w:val="00DD57EE"/>
    <w:rsid w:val="00DD6BCC"/>
    <w:rsid w:val="00DE0A4B"/>
    <w:rsid w:val="00DE1989"/>
    <w:rsid w:val="00DE23C6"/>
    <w:rsid w:val="00DE2410"/>
    <w:rsid w:val="00DE2939"/>
    <w:rsid w:val="00DE2B76"/>
    <w:rsid w:val="00DE301F"/>
    <w:rsid w:val="00DE65F6"/>
    <w:rsid w:val="00DE6E81"/>
    <w:rsid w:val="00DE7017"/>
    <w:rsid w:val="00DE703F"/>
    <w:rsid w:val="00DE7595"/>
    <w:rsid w:val="00DF04C1"/>
    <w:rsid w:val="00DF0EBA"/>
    <w:rsid w:val="00DF1961"/>
    <w:rsid w:val="00DF44DE"/>
    <w:rsid w:val="00E01138"/>
    <w:rsid w:val="00E02DFB"/>
    <w:rsid w:val="00E030F9"/>
    <w:rsid w:val="00E0311A"/>
    <w:rsid w:val="00E03138"/>
    <w:rsid w:val="00E06404"/>
    <w:rsid w:val="00E11A85"/>
    <w:rsid w:val="00E11EF7"/>
    <w:rsid w:val="00E12495"/>
    <w:rsid w:val="00E15CCD"/>
    <w:rsid w:val="00E15D9E"/>
    <w:rsid w:val="00E174CD"/>
    <w:rsid w:val="00E202EF"/>
    <w:rsid w:val="00E210B5"/>
    <w:rsid w:val="00E2168B"/>
    <w:rsid w:val="00E233A6"/>
    <w:rsid w:val="00E2552F"/>
    <w:rsid w:val="00E3137A"/>
    <w:rsid w:val="00E32213"/>
    <w:rsid w:val="00E32CCF"/>
    <w:rsid w:val="00E34A98"/>
    <w:rsid w:val="00E35D1E"/>
    <w:rsid w:val="00E364F9"/>
    <w:rsid w:val="00E365FA"/>
    <w:rsid w:val="00E36789"/>
    <w:rsid w:val="00E44A83"/>
    <w:rsid w:val="00E463F9"/>
    <w:rsid w:val="00E502C1"/>
    <w:rsid w:val="00E502DD"/>
    <w:rsid w:val="00E50D3A"/>
    <w:rsid w:val="00E51387"/>
    <w:rsid w:val="00E51E68"/>
    <w:rsid w:val="00E52538"/>
    <w:rsid w:val="00E52EFD"/>
    <w:rsid w:val="00E5408A"/>
    <w:rsid w:val="00E5586D"/>
    <w:rsid w:val="00E55FC3"/>
    <w:rsid w:val="00E566B0"/>
    <w:rsid w:val="00E56800"/>
    <w:rsid w:val="00E57E7C"/>
    <w:rsid w:val="00E62FF9"/>
    <w:rsid w:val="00E635D6"/>
    <w:rsid w:val="00E639BC"/>
    <w:rsid w:val="00E64130"/>
    <w:rsid w:val="00E664CC"/>
    <w:rsid w:val="00E672BB"/>
    <w:rsid w:val="00E70388"/>
    <w:rsid w:val="00E70F92"/>
    <w:rsid w:val="00E74C54"/>
    <w:rsid w:val="00E75C1E"/>
    <w:rsid w:val="00E77A03"/>
    <w:rsid w:val="00E822E8"/>
    <w:rsid w:val="00E82554"/>
    <w:rsid w:val="00E82606"/>
    <w:rsid w:val="00E846C8"/>
    <w:rsid w:val="00E84957"/>
    <w:rsid w:val="00E84A55"/>
    <w:rsid w:val="00E85BFF"/>
    <w:rsid w:val="00E90391"/>
    <w:rsid w:val="00E906C2"/>
    <w:rsid w:val="00E910C9"/>
    <w:rsid w:val="00E9311F"/>
    <w:rsid w:val="00E934D1"/>
    <w:rsid w:val="00E94AF0"/>
    <w:rsid w:val="00E95D13"/>
    <w:rsid w:val="00E95DD3"/>
    <w:rsid w:val="00E95E26"/>
    <w:rsid w:val="00E969D5"/>
    <w:rsid w:val="00EA04E1"/>
    <w:rsid w:val="00EA4298"/>
    <w:rsid w:val="00EA4F81"/>
    <w:rsid w:val="00EA58D1"/>
    <w:rsid w:val="00EA61BC"/>
    <w:rsid w:val="00EA681A"/>
    <w:rsid w:val="00EA6DCC"/>
    <w:rsid w:val="00EA735B"/>
    <w:rsid w:val="00EA77BB"/>
    <w:rsid w:val="00EB1E69"/>
    <w:rsid w:val="00EB2086"/>
    <w:rsid w:val="00EB3C1C"/>
    <w:rsid w:val="00EB5EDF"/>
    <w:rsid w:val="00EB60FE"/>
    <w:rsid w:val="00EB715B"/>
    <w:rsid w:val="00EB74DB"/>
    <w:rsid w:val="00EC0DB6"/>
    <w:rsid w:val="00EC5359"/>
    <w:rsid w:val="00EC562A"/>
    <w:rsid w:val="00ED067A"/>
    <w:rsid w:val="00ED12DF"/>
    <w:rsid w:val="00ED2B50"/>
    <w:rsid w:val="00ED3723"/>
    <w:rsid w:val="00ED7F83"/>
    <w:rsid w:val="00EE0350"/>
    <w:rsid w:val="00EE0719"/>
    <w:rsid w:val="00EE0963"/>
    <w:rsid w:val="00EE0E80"/>
    <w:rsid w:val="00EE2D00"/>
    <w:rsid w:val="00EE613F"/>
    <w:rsid w:val="00EE7295"/>
    <w:rsid w:val="00EE7869"/>
    <w:rsid w:val="00EF054A"/>
    <w:rsid w:val="00EF0F84"/>
    <w:rsid w:val="00EF3235"/>
    <w:rsid w:val="00EF7E72"/>
    <w:rsid w:val="00F044D0"/>
    <w:rsid w:val="00F0680C"/>
    <w:rsid w:val="00F06D37"/>
    <w:rsid w:val="00F07457"/>
    <w:rsid w:val="00F07B9D"/>
    <w:rsid w:val="00F10926"/>
    <w:rsid w:val="00F11586"/>
    <w:rsid w:val="00F1183B"/>
    <w:rsid w:val="00F11C9F"/>
    <w:rsid w:val="00F12263"/>
    <w:rsid w:val="00F1378F"/>
    <w:rsid w:val="00F1409D"/>
    <w:rsid w:val="00F14214"/>
    <w:rsid w:val="00F14F16"/>
    <w:rsid w:val="00F157A9"/>
    <w:rsid w:val="00F17B2A"/>
    <w:rsid w:val="00F20F76"/>
    <w:rsid w:val="00F24166"/>
    <w:rsid w:val="00F2478E"/>
    <w:rsid w:val="00F24FF9"/>
    <w:rsid w:val="00F25BB6"/>
    <w:rsid w:val="00F26B7E"/>
    <w:rsid w:val="00F27A3B"/>
    <w:rsid w:val="00F3311D"/>
    <w:rsid w:val="00F33817"/>
    <w:rsid w:val="00F3447F"/>
    <w:rsid w:val="00F420D5"/>
    <w:rsid w:val="00F451EA"/>
    <w:rsid w:val="00F45447"/>
    <w:rsid w:val="00F456C6"/>
    <w:rsid w:val="00F4577B"/>
    <w:rsid w:val="00F45F10"/>
    <w:rsid w:val="00F46496"/>
    <w:rsid w:val="00F47425"/>
    <w:rsid w:val="00F474D0"/>
    <w:rsid w:val="00F50179"/>
    <w:rsid w:val="00F537C7"/>
    <w:rsid w:val="00F53CDE"/>
    <w:rsid w:val="00F5558D"/>
    <w:rsid w:val="00F56511"/>
    <w:rsid w:val="00F6194E"/>
    <w:rsid w:val="00F623AC"/>
    <w:rsid w:val="00F6412A"/>
    <w:rsid w:val="00F65893"/>
    <w:rsid w:val="00F66A4A"/>
    <w:rsid w:val="00F66C9C"/>
    <w:rsid w:val="00F71E22"/>
    <w:rsid w:val="00F72142"/>
    <w:rsid w:val="00F72AE7"/>
    <w:rsid w:val="00F737F1"/>
    <w:rsid w:val="00F80963"/>
    <w:rsid w:val="00F81F39"/>
    <w:rsid w:val="00F833BA"/>
    <w:rsid w:val="00F84FD0"/>
    <w:rsid w:val="00F859A8"/>
    <w:rsid w:val="00F907B5"/>
    <w:rsid w:val="00F9108B"/>
    <w:rsid w:val="00F91349"/>
    <w:rsid w:val="00F9373A"/>
    <w:rsid w:val="00F93A8A"/>
    <w:rsid w:val="00F95248"/>
    <w:rsid w:val="00F956A9"/>
    <w:rsid w:val="00F963ED"/>
    <w:rsid w:val="00F966CF"/>
    <w:rsid w:val="00F96CAE"/>
    <w:rsid w:val="00F97C99"/>
    <w:rsid w:val="00FA35F5"/>
    <w:rsid w:val="00FA491C"/>
    <w:rsid w:val="00FA662D"/>
    <w:rsid w:val="00FA73B1"/>
    <w:rsid w:val="00FB05DA"/>
    <w:rsid w:val="00FB0CB9"/>
    <w:rsid w:val="00FB45F1"/>
    <w:rsid w:val="00FB4A72"/>
    <w:rsid w:val="00FB4C09"/>
    <w:rsid w:val="00FB54E8"/>
    <w:rsid w:val="00FB7054"/>
    <w:rsid w:val="00FC17B7"/>
    <w:rsid w:val="00FC292B"/>
    <w:rsid w:val="00FC2CB7"/>
    <w:rsid w:val="00FC4090"/>
    <w:rsid w:val="00FC55B4"/>
    <w:rsid w:val="00FC7915"/>
    <w:rsid w:val="00FD00E6"/>
    <w:rsid w:val="00FD09A1"/>
    <w:rsid w:val="00FD2A7C"/>
    <w:rsid w:val="00FD2FCA"/>
    <w:rsid w:val="00FD4B07"/>
    <w:rsid w:val="00FD59EB"/>
    <w:rsid w:val="00FD7299"/>
    <w:rsid w:val="00FD7A83"/>
    <w:rsid w:val="00FE168F"/>
    <w:rsid w:val="00FE1F75"/>
    <w:rsid w:val="00FE1FBE"/>
    <w:rsid w:val="00FE3901"/>
    <w:rsid w:val="00FE39D3"/>
    <w:rsid w:val="00FE4BCE"/>
    <w:rsid w:val="00FE54AE"/>
    <w:rsid w:val="00FE576A"/>
    <w:rsid w:val="00FE7E79"/>
    <w:rsid w:val="00FE7EA9"/>
    <w:rsid w:val="00FF3E7D"/>
    <w:rsid w:val="00FF4364"/>
    <w:rsid w:val="00FF53F9"/>
    <w:rsid w:val="00FF5B99"/>
    <w:rsid w:val="00FF6CB1"/>
    <w:rsid w:val="00FF730C"/>
    <w:rsid w:val="00FF73F4"/>
    <w:rsid w:val="00FF7CE4"/>
    <w:rsid w:val="00FF7E39"/>
    <w:rsid w:val="05B01562"/>
    <w:rsid w:val="05E17A1F"/>
    <w:rsid w:val="089B6717"/>
    <w:rsid w:val="08F474F0"/>
    <w:rsid w:val="0CF9440B"/>
    <w:rsid w:val="0E75668D"/>
    <w:rsid w:val="0EDD4181"/>
    <w:rsid w:val="1DB82D8F"/>
    <w:rsid w:val="227D77A3"/>
    <w:rsid w:val="30C33B99"/>
    <w:rsid w:val="3A1D5BB7"/>
    <w:rsid w:val="487E4AE0"/>
    <w:rsid w:val="4EA25710"/>
    <w:rsid w:val="4EFC70A4"/>
    <w:rsid w:val="4F12385E"/>
    <w:rsid w:val="4F323101"/>
    <w:rsid w:val="66147A0A"/>
    <w:rsid w:val="766B36D5"/>
    <w:rsid w:val="7842456A"/>
    <w:rsid w:val="78F22A3A"/>
    <w:rsid w:val="7A43756C"/>
    <w:rsid w:val="7E121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9"/>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50"/>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一级条标题"/>
    <w:next w:val="233"/>
    <w:qFormat/>
    <w:uiPriority w:val="99"/>
    <w:pPr>
      <w:numPr>
        <w:ilvl w:val="1"/>
        <w:numId w:val="3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236">
    <w:name w:val="章标题"/>
    <w:next w:val="233"/>
    <w:qFormat/>
    <w:uiPriority w:val="99"/>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233"/>
    <w:qFormat/>
    <w:uiPriority w:val="99"/>
    <w:pPr>
      <w:numPr>
        <w:ilvl w:val="2"/>
      </w:numPr>
      <w:spacing w:before="50" w:after="50"/>
      <w:outlineLvl w:val="3"/>
    </w:pPr>
  </w:style>
  <w:style w:type="paragraph" w:customStyle="1" w:styleId="238">
    <w:name w:val="三级条标题"/>
    <w:basedOn w:val="237"/>
    <w:next w:val="233"/>
    <w:qFormat/>
    <w:uiPriority w:val="99"/>
    <w:pPr>
      <w:numPr>
        <w:ilvl w:val="3"/>
      </w:numPr>
      <w:outlineLvl w:val="4"/>
    </w:pPr>
  </w:style>
  <w:style w:type="paragraph" w:customStyle="1" w:styleId="239">
    <w:name w:val="四级条标题"/>
    <w:basedOn w:val="238"/>
    <w:next w:val="233"/>
    <w:qFormat/>
    <w:uiPriority w:val="99"/>
    <w:pPr>
      <w:numPr>
        <w:ilvl w:val="4"/>
      </w:numPr>
      <w:outlineLvl w:val="5"/>
    </w:pPr>
  </w:style>
  <w:style w:type="paragraph" w:customStyle="1" w:styleId="240">
    <w:name w:val="五级条标题"/>
    <w:basedOn w:val="239"/>
    <w:next w:val="233"/>
    <w:qFormat/>
    <w:uiPriority w:val="99"/>
    <w:pPr>
      <w:numPr>
        <w:ilvl w:val="5"/>
      </w:numPr>
      <w:outlineLvl w:val="6"/>
    </w:pPr>
  </w:style>
  <w:style w:type="paragraph" w:customStyle="1" w:styleId="241">
    <w:name w:val="正文表标题"/>
    <w:next w:val="233"/>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42">
    <w:name w:val="1"/>
    <w:basedOn w:val="1"/>
    <w:qFormat/>
    <w:uiPriority w:val="0"/>
    <w:pPr>
      <w:adjustRightInd/>
      <w:spacing w:line="240" w:lineRule="auto"/>
    </w:pPr>
    <w:rPr>
      <w:rFonts w:ascii="Tahoma" w:hAnsi="Tahoma" w:cs="Tahoma"/>
      <w:sz w:val="24"/>
      <w:szCs w:val="24"/>
    </w:rPr>
  </w:style>
  <w:style w:type="paragraph" w:customStyle="1" w:styleId="243">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5">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46">
    <w:name w:val="数字编号列项（二级）"/>
    <w:qFormat/>
    <w:uiPriority w:val="0"/>
    <w:pPr>
      <w:numPr>
        <w:ilvl w:val="1"/>
        <w:numId w:val="33"/>
      </w:numPr>
      <w:jc w:val="both"/>
    </w:pPr>
    <w:rPr>
      <w:rFonts w:ascii="宋体" w:hAnsi="Times New Roman" w:eastAsia="宋体" w:cs="Times New Roman"/>
      <w:sz w:val="21"/>
      <w:lang w:val="en-US" w:eastAsia="zh-CN" w:bidi="ar-SA"/>
    </w:rPr>
  </w:style>
  <w:style w:type="paragraph" w:customStyle="1" w:styleId="247">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48">
    <w:name w:val="编号列项（三级）"/>
    <w:qFormat/>
    <w:uiPriority w:val="0"/>
    <w:pPr>
      <w:numPr>
        <w:ilvl w:val="2"/>
        <w:numId w:val="33"/>
      </w:numPr>
    </w:pPr>
    <w:rPr>
      <w:rFonts w:ascii="宋体" w:hAnsi="Times New Roman" w:eastAsia="宋体" w:cs="Times New Roman"/>
      <w:sz w:val="21"/>
      <w:lang w:val="en-US" w:eastAsia="zh-CN" w:bidi="ar-SA"/>
    </w:rPr>
  </w:style>
  <w:style w:type="character" w:customStyle="1" w:styleId="249">
    <w:name w:val="批注文字 字符"/>
    <w:basedOn w:val="30"/>
    <w:link w:val="13"/>
    <w:qFormat/>
    <w:uiPriority w:val="99"/>
    <w:rPr>
      <w:kern w:val="2"/>
      <w:sz w:val="21"/>
      <w:szCs w:val="21"/>
    </w:rPr>
  </w:style>
  <w:style w:type="character" w:customStyle="1" w:styleId="250">
    <w:name w:val="批注主题 字符"/>
    <w:basedOn w:val="249"/>
    <w:link w:val="27"/>
    <w:semiHidden/>
    <w:qFormat/>
    <w:uiPriority w:val="99"/>
    <w:rPr>
      <w:b/>
      <w:bCs/>
      <w:kern w:val="2"/>
      <w:sz w:val="21"/>
      <w:szCs w:val="21"/>
    </w:rPr>
  </w:style>
  <w:style w:type="paragraph" w:customStyle="1" w:styleId="251">
    <w:name w:val="修订1"/>
    <w:hidden/>
    <w:unhideWhenUsed/>
    <w:qFormat/>
    <w:uiPriority w:val="99"/>
    <w:rPr>
      <w:rFonts w:ascii="Calibri" w:hAnsi="Calibri" w:eastAsia="宋体" w:cs="Times New Roman"/>
      <w:kern w:val="2"/>
      <w:sz w:val="21"/>
      <w:szCs w:val="21"/>
      <w:lang w:val="en-US" w:eastAsia="zh-CN" w:bidi="ar-SA"/>
    </w:rPr>
  </w:style>
  <w:style w:type="paragraph" w:customStyle="1" w:styleId="252">
    <w:name w:val="修订2"/>
    <w:hidden/>
    <w:unhideWhenUsed/>
    <w:qFormat/>
    <w:uiPriority w:val="99"/>
    <w:rPr>
      <w:rFonts w:ascii="Calibri" w:hAnsi="Calibri" w:eastAsia="宋体" w:cs="Times New Roman"/>
      <w:kern w:val="2"/>
      <w:sz w:val="21"/>
      <w:szCs w:val="21"/>
      <w:lang w:val="en-US" w:eastAsia="zh-CN" w:bidi="ar-SA"/>
    </w:rPr>
  </w:style>
  <w:style w:type="paragraph" w:customStyle="1" w:styleId="253">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glossaryDocument" Target="glossary/document.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8.jpeg"/><Relationship Id="rId30" Type="http://schemas.openxmlformats.org/officeDocument/2006/relationships/image" Target="media/image7.jpeg"/><Relationship Id="rId3" Type="http://schemas.openxmlformats.org/officeDocument/2006/relationships/footnotes" Target="footnotes.xml"/><Relationship Id="rId29" Type="http://schemas.openxmlformats.org/officeDocument/2006/relationships/image" Target="media/image6.jpeg"/><Relationship Id="rId28" Type="http://schemas.openxmlformats.org/officeDocument/2006/relationships/image" Target="media/image5.jpeg"/><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26E6AD67CB4C2995D310B627940C08"/>
        <w:style w:val=""/>
        <w:category>
          <w:name w:val="常规"/>
          <w:gallery w:val="placeholder"/>
        </w:category>
        <w:types>
          <w:type w:val="bbPlcHdr"/>
        </w:types>
        <w:behaviors>
          <w:behavior w:val="content"/>
        </w:behaviors>
        <w:description w:val=""/>
        <w:guid w:val="{1669C639-3AC8-4357-95F6-07973DBA5BAC}"/>
      </w:docPartPr>
      <w:docPartBody>
        <w:p w14:paraId="50B8D7F3">
          <w:pPr>
            <w:pStyle w:val="5"/>
            <w:rPr>
              <w:rFonts w:hint="eastAsia"/>
            </w:rPr>
          </w:pPr>
          <w:r>
            <w:rPr>
              <w:rStyle w:val="4"/>
              <w:rFonts w:hint="eastAsia"/>
            </w:rPr>
            <w:t>单击或点击此处输入文字。</w:t>
          </w:r>
        </w:p>
      </w:docPartBody>
    </w:docPart>
    <w:docPart>
      <w:docPartPr>
        <w:name w:val="1A34295BE509404A928913BDFCF38EA7"/>
        <w:style w:val=""/>
        <w:category>
          <w:name w:val="常规"/>
          <w:gallery w:val="placeholder"/>
        </w:category>
        <w:types>
          <w:type w:val="bbPlcHdr"/>
        </w:types>
        <w:behaviors>
          <w:behavior w:val="content"/>
        </w:behaviors>
        <w:description w:val=""/>
        <w:guid w:val="{37CB10AD-C935-4C30-9C05-D1BB5669D295}"/>
      </w:docPartPr>
      <w:docPartBody>
        <w:p w14:paraId="702FC2E9">
          <w:pPr>
            <w:pStyle w:val="6"/>
            <w:rPr>
              <w:rFonts w:hint="eastAsia"/>
            </w:rPr>
          </w:pPr>
          <w:r>
            <w:rPr>
              <w:rStyle w:val="4"/>
              <w:rFonts w:hint="eastAsia"/>
            </w:rPr>
            <w:t>选择一项。</w:t>
          </w:r>
        </w:p>
      </w:docPartBody>
    </w:docPart>
    <w:docPart>
      <w:docPartPr>
        <w:name w:val="4B79669EA2CA43179F6E6C9296690BCC"/>
        <w:style w:val=""/>
        <w:category>
          <w:name w:val="常规"/>
          <w:gallery w:val="placeholder"/>
        </w:category>
        <w:types>
          <w:type w:val="bbPlcHdr"/>
        </w:types>
        <w:behaviors>
          <w:behavior w:val="content"/>
        </w:behaviors>
        <w:description w:val=""/>
        <w:guid w:val="{4F67B5F4-136B-4A42-918A-7EF89F0C5232}"/>
      </w:docPartPr>
      <w:docPartBody>
        <w:p w14:paraId="465CF664">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6B"/>
    <w:rsid w:val="00006507"/>
    <w:rsid w:val="00014336"/>
    <w:rsid w:val="000149C2"/>
    <w:rsid w:val="00023528"/>
    <w:rsid w:val="00066F29"/>
    <w:rsid w:val="000C525C"/>
    <w:rsid w:val="001328BD"/>
    <w:rsid w:val="00136563"/>
    <w:rsid w:val="00161DD1"/>
    <w:rsid w:val="0016695B"/>
    <w:rsid w:val="001E4F62"/>
    <w:rsid w:val="001F3CED"/>
    <w:rsid w:val="00232B4E"/>
    <w:rsid w:val="00246A2F"/>
    <w:rsid w:val="0026488D"/>
    <w:rsid w:val="00283EC3"/>
    <w:rsid w:val="0029334F"/>
    <w:rsid w:val="00294C1C"/>
    <w:rsid w:val="002E2409"/>
    <w:rsid w:val="003216F1"/>
    <w:rsid w:val="003336E9"/>
    <w:rsid w:val="003A13AC"/>
    <w:rsid w:val="003C2F09"/>
    <w:rsid w:val="003D7FFC"/>
    <w:rsid w:val="00407E5F"/>
    <w:rsid w:val="00427DA5"/>
    <w:rsid w:val="004838CA"/>
    <w:rsid w:val="004B3EFA"/>
    <w:rsid w:val="004E02E7"/>
    <w:rsid w:val="004F11B8"/>
    <w:rsid w:val="0051169A"/>
    <w:rsid w:val="0052424C"/>
    <w:rsid w:val="005C22F9"/>
    <w:rsid w:val="005D0E91"/>
    <w:rsid w:val="006057EE"/>
    <w:rsid w:val="00617251"/>
    <w:rsid w:val="00672CF9"/>
    <w:rsid w:val="006737E8"/>
    <w:rsid w:val="006B3B1F"/>
    <w:rsid w:val="006B4419"/>
    <w:rsid w:val="006E4442"/>
    <w:rsid w:val="006E7B41"/>
    <w:rsid w:val="006F7F28"/>
    <w:rsid w:val="007B2CE9"/>
    <w:rsid w:val="007C3122"/>
    <w:rsid w:val="007D2A81"/>
    <w:rsid w:val="0081346B"/>
    <w:rsid w:val="00824A94"/>
    <w:rsid w:val="00854B7B"/>
    <w:rsid w:val="00872694"/>
    <w:rsid w:val="008A5F3A"/>
    <w:rsid w:val="00903279"/>
    <w:rsid w:val="009206FC"/>
    <w:rsid w:val="00926C86"/>
    <w:rsid w:val="00961E2B"/>
    <w:rsid w:val="00971E29"/>
    <w:rsid w:val="0098073E"/>
    <w:rsid w:val="009870F2"/>
    <w:rsid w:val="009D774B"/>
    <w:rsid w:val="00A62FC3"/>
    <w:rsid w:val="00AE5010"/>
    <w:rsid w:val="00B22017"/>
    <w:rsid w:val="00B32BF2"/>
    <w:rsid w:val="00B51B89"/>
    <w:rsid w:val="00BB07E4"/>
    <w:rsid w:val="00C2173A"/>
    <w:rsid w:val="00C22B45"/>
    <w:rsid w:val="00C321EF"/>
    <w:rsid w:val="00C3544C"/>
    <w:rsid w:val="00C534EC"/>
    <w:rsid w:val="00C55206"/>
    <w:rsid w:val="00CC02F7"/>
    <w:rsid w:val="00CD0A65"/>
    <w:rsid w:val="00CF5839"/>
    <w:rsid w:val="00D26D2F"/>
    <w:rsid w:val="00D67166"/>
    <w:rsid w:val="00D777FC"/>
    <w:rsid w:val="00D8434C"/>
    <w:rsid w:val="00D96003"/>
    <w:rsid w:val="00DE03EE"/>
    <w:rsid w:val="00E02D9D"/>
    <w:rsid w:val="00E16E5C"/>
    <w:rsid w:val="00E22354"/>
    <w:rsid w:val="00E25AC9"/>
    <w:rsid w:val="00E44E3C"/>
    <w:rsid w:val="00E572B7"/>
    <w:rsid w:val="00E75C1E"/>
    <w:rsid w:val="00EA20CB"/>
    <w:rsid w:val="00F122BA"/>
    <w:rsid w:val="00F20483"/>
    <w:rsid w:val="00F31B72"/>
    <w:rsid w:val="00F52D71"/>
    <w:rsid w:val="00F66809"/>
    <w:rsid w:val="00F87147"/>
    <w:rsid w:val="00F907B5"/>
    <w:rsid w:val="00FA2008"/>
    <w:rsid w:val="00FD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26E6AD67CB4C2995D310B627940C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34295BE509404A928913BDFCF38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B79669EA2CA43179F6E6C9296690BC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E78C3-920E-40D5-BECC-9E3733CBFDCF}">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17</Pages>
  <Words>1646</Words>
  <Characters>2522</Characters>
  <Lines>34</Lines>
  <Paragraphs>25</Paragraphs>
  <TotalTime>419</TotalTime>
  <ScaleCrop>false</ScaleCrop>
  <LinksUpToDate>false</LinksUpToDate>
  <CharactersWithSpaces>2698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2025-08-06T08:54:00Z</dcterms:created>
  <dc:creator>董强国</dc:creator>
  <cp:lastModifiedBy>常婉晴</cp:lastModifiedBy>
  <cp:lastPrinted>2021-05-24T01:23:00Z</cp:lastPrinted>
  <dcterms:modified xsi:type="dcterms:W3CDTF">2025-08-28T06:14:05Z</dcterms:modified>
  <dc:title>行业标准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eyJoZGlkIjoiYjBmOGMxMzBhZmMyMWRhZDUzZDA2YjdmZTQ4NjU0NGMiLCJ1c2VySWQiOiI3OTg0NTQzNTMifQ==</vt:lpwstr>
  </property>
  <property fmtid="{D5CDD505-2E9C-101B-9397-08002B2CF9AE}" pid="16" name="KSOProductBuildVer">
    <vt:lpwstr>2052-12.8.2.18205</vt:lpwstr>
  </property>
  <property fmtid="{D5CDD505-2E9C-101B-9397-08002B2CF9AE}" pid="17" name="ICV">
    <vt:lpwstr>CFAF5C6326C74E47BCC4653C549A99A7_13</vt:lpwstr>
  </property>
</Properties>
</file>