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1"/>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53094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427D75D">
            <w:pPr>
              <w:pStyle w:val="20"/>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177DE00E">
            <w:pPr>
              <w:pStyle w:val="20"/>
              <w:framePr w:wrap="notBeside" w:vAnchor="page" w:hAnchor="page" w:x="1372" w:y="568"/>
              <w:tabs>
                <w:tab w:val="clear" w:pos="4153"/>
                <w:tab w:val="clear" w:pos="8306"/>
              </w:tabs>
              <w:spacing w:line="240" w:lineRule="auto"/>
              <w:ind w:left="3"/>
              <w:jc w:val="both"/>
              <w:rPr>
                <w:rFonts w:hint="eastAsia" w:ascii="黑体" w:hAnsi="黑体" w:eastAsia="黑体"/>
                <w:sz w:val="21"/>
                <w:szCs w:val="21"/>
              </w:rPr>
            </w:pPr>
            <w:r>
              <w:rPr>
                <w:rFonts w:hint="eastAsia" w:ascii="黑体" w:hAnsi="黑体" w:eastAsia="黑体"/>
                <w:sz w:val="21"/>
                <w:szCs w:val="21"/>
              </w:rPr>
              <w:t>37.060.99</w:t>
            </w:r>
          </w:p>
        </w:tc>
      </w:tr>
      <w:tr w14:paraId="44C50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60FF32C">
            <w:pPr>
              <w:pStyle w:val="20"/>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4CF0965B">
            <w:pPr>
              <w:pStyle w:val="20"/>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hint="eastAsia" w:ascii="黑体" w:hAnsi="黑体" w:eastAsia="黑体"/>
                <w:sz w:val="21"/>
                <w:szCs w:val="21"/>
              </w:rPr>
              <w:t>N40</w:t>
            </w:r>
          </w:p>
        </w:tc>
      </w:tr>
    </w:tbl>
    <w:tbl>
      <w:tblPr>
        <w:tblStyle w:val="31"/>
        <w:tblpPr w:leftFromText="181" w:rightFromText="181" w:horzAnchor="margin" w:tblpX="3857" w:tblpY="56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4990"/>
      </w:tblGrid>
      <w:tr w14:paraId="340E927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128" w:hRule="atLeast"/>
        </w:trPr>
        <w:tc>
          <w:tcPr>
            <w:tcW w:w="4990" w:type="dxa"/>
          </w:tcPr>
          <w:p w14:paraId="55302BD6">
            <w:pPr>
              <w:pStyle w:val="55"/>
              <w:framePr w:w="0" w:hRule="auto" w:wrap="auto" w:vAnchor="margin" w:hAnchor="text" w:xAlign="left" w:yAlign="inline"/>
              <w:ind w:firstLine="420"/>
            </w:pPr>
            <w:bookmarkStart w:id="0" w:name="_Hlk26473981"/>
            <w:r>
              <w:fldChar w:fldCharType="begin">
                <w:ffData>
                  <w:name w:val="c1"/>
                  <w:enabled/>
                  <w:calcOnExit w:val="0"/>
                  <w:textInput>
                    <w:maxLength w:val="8"/>
                  </w:textInput>
                </w:ffData>
              </w:fldChar>
            </w:r>
            <w:bookmarkStart w:id="1" w:name="c1"/>
            <w:r>
              <w:instrText xml:space="preserve"> FORMTEXT </w:instrText>
            </w:r>
            <w:r>
              <w:fldChar w:fldCharType="separate"/>
            </w:r>
            <w:r>
              <w:t>     </w:t>
            </w:r>
            <w:r>
              <w:fldChar w:fldCharType="end"/>
            </w:r>
            <w:bookmarkEnd w:id="1"/>
          </w:p>
        </w:tc>
      </w:tr>
    </w:tbl>
    <w:p w14:paraId="2E151A39">
      <w:pPr>
        <w:pStyle w:val="56"/>
        <w:framePr w:w="10357" w:h="624" w:hRule="exact" w:hSpace="181" w:vSpace="181" w:wrap="around" w:hAnchor="page" w:x="978" w:y="2269"/>
        <w:rPr>
          <w:rFonts w:hint="eastAsia" w:ascii="黑体" w:hAnsi="黑体" w:eastAsia="黑体"/>
          <w:b w:val="0"/>
          <w:bCs w:val="0"/>
          <w:w w:val="100"/>
          <w:sz w:val="48"/>
          <w:szCs w:val="48"/>
        </w:rPr>
      </w:pPr>
      <w:r>
        <w:rPr>
          <w:rFonts w:hint="eastAsia" w:ascii="黑体" w:hAnsi="黑体" w:eastAsia="黑体"/>
          <w:b w:val="0"/>
          <w:bCs w:val="0"/>
          <w:w w:val="100"/>
          <w:sz w:val="48"/>
          <w:szCs w:val="48"/>
        </w:rPr>
        <w:t>中华人民共和国</w:t>
      </w:r>
      <w:r>
        <w:rPr>
          <w:rFonts w:hint="eastAsia" w:ascii="黑体" w:eastAsia="黑体"/>
          <w:b w:val="0"/>
          <w:bCs w:val="0"/>
          <w:w w:val="100"/>
          <w:sz w:val="48"/>
        </w:rPr>
        <w:t>电影</w:t>
      </w:r>
      <w:r>
        <w:rPr>
          <w:rFonts w:hint="eastAsia" w:ascii="黑体" w:hAnsi="黑体" w:eastAsia="黑体"/>
          <w:b w:val="0"/>
          <w:bCs w:val="0"/>
          <w:w w:val="100"/>
          <w:sz w:val="48"/>
          <w:szCs w:val="48"/>
        </w:rPr>
        <w:t>行业标准化指导性技术文件</w:t>
      </w:r>
    </w:p>
    <w:bookmarkEnd w:id="0"/>
    <w:p w14:paraId="7A9BCB61">
      <w:pPr>
        <w:pStyle w:val="201"/>
        <w:rPr>
          <w:lang w:val="fr-FR"/>
        </w:rPr>
      </w:pPr>
      <w:r>
        <w:rPr>
          <w:rFonts w:hint="eastAsia"/>
        </w:rPr>
        <w:t>DY/Z</w:t>
      </w:r>
      <w:r>
        <w:rPr>
          <w:lang w:val="fr-FR"/>
        </w:rPr>
        <w:t xml:space="preserve"> </w:t>
      </w:r>
      <w:r>
        <w:fldChar w:fldCharType="begin">
          <w:ffData>
            <w:name w:val="NSTD_CODE_F"/>
            <w:enabled/>
            <w:calcOnExit w:val="0"/>
            <w:textInput>
              <w:default w:val="XXXXX"/>
            </w:textInput>
          </w:ffData>
        </w:fldChar>
      </w:r>
      <w:bookmarkStart w:id="2" w:name="NSTD_CODE_F"/>
      <w:r>
        <w:rPr>
          <w:lang w:val="fr-FR"/>
        </w:rPr>
        <w:instrText xml:space="preserve"> FORMTEXT </w:instrText>
      </w:r>
      <w:r>
        <w:fldChar w:fldCharType="separate"/>
      </w:r>
      <w:r>
        <w:rPr>
          <w:lang w:val="fr-FR"/>
        </w:rPr>
        <w:t>XXXXX</w:t>
      </w:r>
      <w:r>
        <w:fldChar w:fldCharType="end"/>
      </w:r>
      <w:bookmarkEnd w:id="2"/>
      <w:r>
        <w:rPr>
          <w:rFonts w:hAnsi="黑体"/>
          <w:lang w:val="fr-FR"/>
        </w:rPr>
        <w:t>—</w:t>
      </w:r>
      <w:r>
        <w:fldChar w:fldCharType="begin">
          <w:ffData>
            <w:name w:val="NSTD_CODE_B"/>
            <w:enabled/>
            <w:calcOnExit w:val="0"/>
            <w:textInput>
              <w:default w:val="XXXX"/>
            </w:textInput>
          </w:ffData>
        </w:fldChar>
      </w:r>
      <w:bookmarkStart w:id="3" w:name="NSTD_CODE_B"/>
      <w:r>
        <w:rPr>
          <w:lang w:val="fr-FR"/>
        </w:rPr>
        <w:instrText xml:space="preserve"> FORMTEXT </w:instrText>
      </w:r>
      <w:r>
        <w:fldChar w:fldCharType="separate"/>
      </w:r>
      <w:r>
        <w:rPr>
          <w:lang w:val="fr-FR"/>
        </w:rPr>
        <w:t>XXXX</w:t>
      </w:r>
      <w:r>
        <w:fldChar w:fldCharType="end"/>
      </w:r>
      <w:bookmarkEnd w:id="3"/>
    </w:p>
    <w:p w14:paraId="45D63DCD">
      <w:pPr>
        <w:spacing w:line="240" w:lineRule="auto"/>
        <w:rPr>
          <w:rFonts w:hint="eastAsia" w:ascii="黑体" w:hAnsi="黑体" w:eastAsia="黑体"/>
          <w:kern w:val="0"/>
          <w:sz w:val="10"/>
          <w:szCs w:val="10"/>
          <w:lang w:val="fr-FR"/>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470DBB29">
      <w:pPr>
        <w:pStyle w:val="56"/>
        <w:framePr w:w="9639" w:h="6976" w:hRule="exact" w:hSpace="0" w:vSpace="0" w:wrap="around" w:hAnchor="page" w:y="6408"/>
        <w:jc w:val="center"/>
        <w:rPr>
          <w:rFonts w:hint="eastAsia" w:ascii="黑体" w:hAnsi="黑体" w:eastAsia="黑体"/>
          <w:b w:val="0"/>
          <w:bCs w:val="0"/>
          <w:w w:val="100"/>
          <w:lang w:val="fr-FR"/>
        </w:rPr>
      </w:pPr>
    </w:p>
    <w:p w14:paraId="74D1FDFD">
      <w:pPr>
        <w:pStyle w:val="203"/>
        <w:framePr w:h="6974" w:hRule="exact" w:wrap="around" w:x="1419" w:anchorLock="1"/>
        <w:rPr>
          <w:rFonts w:hint="eastAsia"/>
        </w:rPr>
      </w:pPr>
      <w:r>
        <w:rPr>
          <w:rFonts w:hint="eastAsia"/>
        </w:rPr>
        <w:t>虚拟现实电影 第3部分：头戴式显示设备技术要求和测量方法</w:t>
      </w:r>
    </w:p>
    <w:p w14:paraId="3709DAE8">
      <w:pPr>
        <w:framePr w:w="9639" w:h="6974" w:hRule="exact" w:wrap="around" w:vAnchor="page" w:hAnchor="page" w:x="1419" w:y="6408" w:anchorLock="1"/>
        <w:ind w:left="-1418"/>
      </w:pPr>
    </w:p>
    <w:p w14:paraId="101FC3D6">
      <w:pPr>
        <w:pStyle w:val="131"/>
        <w:framePr w:w="9639" w:h="6974" w:hRule="exact" w:wrap="around" w:vAnchor="page" w:hAnchor="page" w:x="1419" w:y="6408" w:anchorLock="1"/>
        <w:textAlignment w:val="bottom"/>
        <w:rPr>
          <w:rFonts w:eastAsia="黑体"/>
          <w:szCs w:val="28"/>
        </w:rPr>
      </w:pPr>
      <w:r>
        <w:rPr>
          <w:rFonts w:hint="eastAsia" w:eastAsia="黑体"/>
          <w:szCs w:val="28"/>
        </w:rPr>
        <w:t>Virtual reality films — Part 3: Technical requirements and measurement methods for head mounted display device</w:t>
      </w:r>
    </w:p>
    <w:p w14:paraId="2DA89C25">
      <w:pPr>
        <w:framePr w:w="9639" w:h="6974" w:hRule="exact" w:wrap="around" w:vAnchor="page" w:hAnchor="page" w:x="1419" w:y="6408" w:anchorLock="1"/>
        <w:spacing w:line="760" w:lineRule="exact"/>
        <w:ind w:left="-1418"/>
      </w:pPr>
      <w:r>
        <w:rPr>
          <w:rFonts w:hint="eastAsia"/>
        </w:rPr>
        <w:t xml:space="preserve"> </w:t>
      </w:r>
    </w:p>
    <w:p w14:paraId="387B0225">
      <w:pPr>
        <w:pStyle w:val="131"/>
        <w:framePr w:w="9639" w:h="6974" w:hRule="exact" w:wrap="around" w:vAnchor="page" w:hAnchor="page" w:x="1419" w:y="6408" w:anchorLock="1"/>
        <w:textAlignment w:val="bottom"/>
        <w:rPr>
          <w:rFonts w:eastAsia="黑体"/>
          <w:szCs w:val="28"/>
        </w:rPr>
      </w:pPr>
      <w:r>
        <w:rPr>
          <w:rFonts w:eastAsia="黑体"/>
          <w:szCs w:val="28"/>
        </w:rPr>
        <w:fldChar w:fldCharType="begin">
          <w:ffData>
            <w:name w:val="IN_STD_CODE"/>
            <w:enabled/>
            <w:calcOnExit w:val="0"/>
            <w:textInput>
              <w:default w:val="(点击此处添加与国际标准一致性程度的标识)"/>
            </w:textInput>
          </w:ffData>
        </w:fldChar>
      </w:r>
      <w:bookmarkStart w:id="4" w:name="IN_STD_CODE"/>
      <w:r>
        <w:rPr>
          <w:rFonts w:eastAsia="黑体"/>
          <w:szCs w:val="28"/>
        </w:rPr>
        <w:instrText xml:space="preserve"> FORMTEXT </w:instrText>
      </w:r>
      <w:r>
        <w:rPr>
          <w:rFonts w:eastAsia="黑体"/>
          <w:szCs w:val="28"/>
        </w:rPr>
        <w:fldChar w:fldCharType="separate"/>
      </w:r>
      <w:r>
        <w:rPr>
          <w:rFonts w:hint="eastAsia" w:eastAsia="黑体"/>
          <w:szCs w:val="28"/>
        </w:rPr>
        <w:t>(点击此处添加与国际标准一致性程度的标识)</w:t>
      </w:r>
      <w:r>
        <w:rPr>
          <w:rFonts w:eastAsia="黑体"/>
          <w:szCs w:val="28"/>
        </w:rPr>
        <w:fldChar w:fldCharType="end"/>
      </w:r>
      <w:bookmarkEnd w:id="4"/>
    </w:p>
    <w:p w14:paraId="620E22F3">
      <w:pPr>
        <w:pStyle w:val="131"/>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5" w:name="下拉1"/>
      <w:r>
        <w:rPr>
          <w:sz w:val="24"/>
          <w:szCs w:val="28"/>
        </w:rPr>
        <w:instrText xml:space="preserve"> FORMDROPDOWN </w:instrText>
      </w:r>
      <w:r>
        <w:rPr>
          <w:sz w:val="24"/>
          <w:szCs w:val="28"/>
        </w:rPr>
        <w:fldChar w:fldCharType="separate"/>
      </w:r>
      <w:r>
        <w:rPr>
          <w:sz w:val="24"/>
          <w:szCs w:val="28"/>
        </w:rPr>
        <w:fldChar w:fldCharType="end"/>
      </w:r>
      <w:bookmarkEnd w:id="5"/>
    </w:p>
    <w:p w14:paraId="535FB87E">
      <w:pPr>
        <w:pStyle w:val="131"/>
        <w:framePr w:w="9639" w:h="6974" w:hRule="exact" w:wrap="around" w:vAnchor="page" w:hAnchor="page" w:x="1419" w:y="6408" w:anchorLock="1"/>
        <w:spacing w:before="180" w:line="240" w:lineRule="atLeast"/>
        <w:textAlignment w:val="bottom"/>
        <w:rPr>
          <w:sz w:val="21"/>
          <w:szCs w:val="28"/>
        </w:rPr>
      </w:pPr>
      <w:r>
        <w:rPr>
          <w:rFonts w:hint="eastAsia"/>
          <w:sz w:val="21"/>
          <w:szCs w:val="28"/>
        </w:rPr>
        <w:t>（本草案完成时间：20251125）</w:t>
      </w:r>
    </w:p>
    <w:p w14:paraId="1A35890D">
      <w:pPr>
        <w:pStyle w:val="131"/>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6" w:name="下拉2"/>
      <w:r>
        <w:rPr>
          <w:b/>
          <w:sz w:val="21"/>
          <w:szCs w:val="28"/>
        </w:rPr>
        <w:instrText xml:space="preserve"> FORMDROPDOWN </w:instrText>
      </w:r>
      <w:r>
        <w:rPr>
          <w:b/>
          <w:sz w:val="21"/>
          <w:szCs w:val="28"/>
        </w:rPr>
        <w:fldChar w:fldCharType="separate"/>
      </w:r>
      <w:r>
        <w:rPr>
          <w:b/>
          <w:sz w:val="21"/>
          <w:szCs w:val="28"/>
        </w:rPr>
        <w:fldChar w:fldCharType="end"/>
      </w:r>
      <w:bookmarkEnd w:id="6"/>
    </w:p>
    <w:p w14:paraId="12D771F2">
      <w:pPr>
        <w:pStyle w:val="199"/>
        <w:framePr w:wrap="around" w:y="14176"/>
      </w:pPr>
      <w:r>
        <w:rPr>
          <w:rFonts w:ascii="黑体"/>
        </w:rPr>
        <w:fldChar w:fldCharType="begin">
          <w:ffData>
            <w:name w:val="PLSH_DATE_Y"/>
            <w:enabled/>
            <w:calcOnExit w:val="0"/>
            <w:textInput>
              <w:default w:val="XXXX"/>
              <w:maxLength w:val="4"/>
            </w:textInput>
          </w:ffData>
        </w:fldChar>
      </w:r>
      <w:bookmarkStart w:id="7"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7"/>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8"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8"/>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9"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9"/>
      <w:r>
        <w:rPr>
          <w:rFonts w:hint="eastAsia"/>
        </w:rPr>
        <w:t>发布</w:t>
      </w:r>
    </w:p>
    <w:p w14:paraId="6E3B098F">
      <w:pPr>
        <w:pStyle w:val="200"/>
        <w:framePr w:wrap="around" w:y="14176"/>
      </w:pPr>
      <w:r>
        <w:rPr>
          <w:rFonts w:ascii="黑体"/>
        </w:rPr>
        <w:fldChar w:fldCharType="begin">
          <w:ffData>
            <w:name w:val="CROT_DATE_Y"/>
            <w:enabled/>
            <w:calcOnExit w:val="0"/>
            <w:textInput>
              <w:default w:val="XXXX"/>
              <w:maxLength w:val="4"/>
            </w:textInput>
          </w:ffData>
        </w:fldChar>
      </w:r>
      <w:bookmarkStart w:id="10"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0"/>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1"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1"/>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2"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rPr>
          <w:rFonts w:hint="eastAsia"/>
        </w:rPr>
        <w:t>实施</w:t>
      </w:r>
    </w:p>
    <w:p w14:paraId="69EA9913">
      <w:pPr>
        <w:pStyle w:val="157"/>
        <w:framePr w:h="584" w:hRule="exact" w:hSpace="181" w:vSpace="181" w:wrap="around" w:y="14800"/>
        <w:rPr>
          <w:rFonts w:hint="eastAsia" w:hAnsi="黑体"/>
        </w:rPr>
      </w:pPr>
      <w:r>
        <w:rPr>
          <w:rFonts w:hint="eastAsia" w:hAnsi="黑体"/>
          <w:w w:val="100"/>
          <w:sz w:val="28"/>
        </w:rPr>
        <w:t>国家电影局</w:t>
      </w:r>
      <w:r>
        <w:rPr>
          <w:rFonts w:ascii="Times New Roman"/>
          <w:w w:val="100"/>
          <w:sz w:val="28"/>
          <w:szCs w:val="28"/>
        </w:rPr>
        <w:t>  </w:t>
      </w:r>
      <w:r>
        <w:rPr>
          <w:rStyle w:val="235"/>
          <w:rFonts w:hint="eastAsia" w:hAnsi="黑体"/>
          <w:position w:val="0"/>
        </w:rPr>
        <w:t>发</w:t>
      </w:r>
      <w:r>
        <w:rPr>
          <w:rStyle w:val="235"/>
          <w:rFonts w:hint="eastAsia" w:hAnsi="黑体"/>
          <w:spacing w:val="0"/>
          <w:position w:val="0"/>
        </w:rPr>
        <w:t>布</w:t>
      </w:r>
    </w:p>
    <w:p w14:paraId="67FF5DEB">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021"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4AC2EF6A">
      <w:pPr>
        <w:pStyle w:val="97"/>
        <w:spacing w:after="360"/>
      </w:pPr>
      <w:bookmarkStart w:id="13" w:name="BookMark1"/>
      <w:r>
        <w:rPr>
          <w:rFonts w:hint="eastAsia"/>
          <w:spacing w:val="320"/>
        </w:rPr>
        <w:t>目</w:t>
      </w:r>
      <w:r>
        <w:rPr>
          <w:rFonts w:hint="eastAsia"/>
        </w:rPr>
        <w:t>次</w:t>
      </w:r>
    </w:p>
    <w:p w14:paraId="3813C65C">
      <w:pPr>
        <w:pStyle w:val="21"/>
        <w:tabs>
          <w:tab w:val="right" w:leader="dot" w:pos="9354"/>
        </w:tabs>
      </w:pPr>
      <w:r>
        <w:fldChar w:fldCharType="begin"/>
      </w:r>
      <w:r>
        <w:instrText xml:space="preserve"> TOC \o "1-1" \h \t "标准文件_一级条标题,2,标准文件_二级条标题,3,标准文件_三级条标题,4,标准文件_附录一级条标题,2,标准文件_附录二级条标题,3,标准文件_附录三级条标题,4," </w:instrText>
      </w:r>
      <w:r>
        <w:fldChar w:fldCharType="separate"/>
      </w:r>
      <w:r>
        <w:fldChar w:fldCharType="begin"/>
      </w:r>
      <w:r>
        <w:instrText xml:space="preserve"> HYPERLINK \l _Toc31878 </w:instrText>
      </w:r>
      <w:r>
        <w:fldChar w:fldCharType="separate"/>
      </w:r>
      <w:r>
        <w:rPr>
          <w:rFonts w:hint="eastAsia"/>
          <w:spacing w:val="320"/>
        </w:rPr>
        <w:t>前</w:t>
      </w:r>
      <w:r>
        <w:rPr>
          <w:rFonts w:hint="eastAsia"/>
        </w:rPr>
        <w:t>言</w:t>
      </w:r>
      <w:r>
        <w:tab/>
      </w:r>
      <w:r>
        <w:fldChar w:fldCharType="begin"/>
      </w:r>
      <w:r>
        <w:instrText xml:space="preserve"> PAGEREF _Toc31878 \h </w:instrText>
      </w:r>
      <w:r>
        <w:fldChar w:fldCharType="separate"/>
      </w:r>
      <w:r>
        <w:t>III</w:t>
      </w:r>
      <w:r>
        <w:fldChar w:fldCharType="end"/>
      </w:r>
      <w:r>
        <w:fldChar w:fldCharType="end"/>
      </w:r>
    </w:p>
    <w:p w14:paraId="291EDE37">
      <w:pPr>
        <w:pStyle w:val="21"/>
        <w:tabs>
          <w:tab w:val="right" w:leader="dot" w:pos="9354"/>
        </w:tabs>
      </w:pPr>
      <w:r>
        <w:fldChar w:fldCharType="begin"/>
      </w:r>
      <w:r>
        <w:instrText xml:space="preserve"> HYPERLINK \l _Toc24441 </w:instrText>
      </w:r>
      <w:r>
        <w:fldChar w:fldCharType="separate"/>
      </w:r>
      <w:r>
        <w:rPr>
          <w:rFonts w:hint="eastAsia"/>
          <w:spacing w:val="320"/>
        </w:rPr>
        <w:t>引</w:t>
      </w:r>
      <w:r>
        <w:rPr>
          <w:rFonts w:hint="eastAsia"/>
        </w:rPr>
        <w:t>言</w:t>
      </w:r>
      <w:r>
        <w:tab/>
      </w:r>
      <w:r>
        <w:fldChar w:fldCharType="begin"/>
      </w:r>
      <w:r>
        <w:instrText xml:space="preserve"> PAGEREF _Toc24441 \h </w:instrText>
      </w:r>
      <w:r>
        <w:fldChar w:fldCharType="separate"/>
      </w:r>
      <w:r>
        <w:t>IV</w:t>
      </w:r>
      <w:r>
        <w:fldChar w:fldCharType="end"/>
      </w:r>
      <w:r>
        <w:fldChar w:fldCharType="end"/>
      </w:r>
    </w:p>
    <w:p w14:paraId="60D1FDA7">
      <w:pPr>
        <w:pStyle w:val="21"/>
        <w:tabs>
          <w:tab w:val="right" w:leader="dot" w:pos="9354"/>
        </w:tabs>
      </w:pPr>
      <w:r>
        <w:fldChar w:fldCharType="begin"/>
      </w:r>
      <w:r>
        <w:instrText xml:space="preserve"> HYPERLINK \l _Toc11884 </w:instrText>
      </w:r>
      <w:r>
        <w:fldChar w:fldCharType="separate"/>
      </w:r>
      <w:r>
        <w:rPr>
          <w:rFonts w:hint="eastAsia" w:ascii="黑体" w:eastAsia="黑体"/>
          <w:i w:val="0"/>
        </w:rPr>
        <w:t xml:space="preserve">1 </w:t>
      </w:r>
      <w:r>
        <w:rPr>
          <w:rFonts w:hint="eastAsia"/>
        </w:rPr>
        <w:t>范围</w:t>
      </w:r>
      <w:r>
        <w:tab/>
      </w:r>
      <w:r>
        <w:fldChar w:fldCharType="begin"/>
      </w:r>
      <w:r>
        <w:instrText xml:space="preserve"> PAGEREF _Toc11884 \h </w:instrText>
      </w:r>
      <w:r>
        <w:fldChar w:fldCharType="separate"/>
      </w:r>
      <w:r>
        <w:t>1</w:t>
      </w:r>
      <w:r>
        <w:fldChar w:fldCharType="end"/>
      </w:r>
      <w:r>
        <w:fldChar w:fldCharType="end"/>
      </w:r>
    </w:p>
    <w:p w14:paraId="35CDAF5B">
      <w:pPr>
        <w:pStyle w:val="21"/>
        <w:tabs>
          <w:tab w:val="right" w:leader="dot" w:pos="9354"/>
        </w:tabs>
      </w:pPr>
      <w:r>
        <w:fldChar w:fldCharType="begin"/>
      </w:r>
      <w:r>
        <w:instrText xml:space="preserve"> HYPERLINK \l _Toc20640 </w:instrText>
      </w:r>
      <w:r>
        <w:fldChar w:fldCharType="separate"/>
      </w:r>
      <w:r>
        <w:rPr>
          <w:rFonts w:hint="eastAsia" w:ascii="黑体" w:eastAsia="黑体"/>
          <w:i w:val="0"/>
        </w:rPr>
        <w:t xml:space="preserve">2 </w:t>
      </w:r>
      <w:r>
        <w:rPr>
          <w:rFonts w:hint="eastAsia"/>
        </w:rPr>
        <w:t>规范性引用文件</w:t>
      </w:r>
      <w:r>
        <w:tab/>
      </w:r>
      <w:r>
        <w:fldChar w:fldCharType="begin"/>
      </w:r>
      <w:r>
        <w:instrText xml:space="preserve"> PAGEREF _Toc20640 \h </w:instrText>
      </w:r>
      <w:r>
        <w:fldChar w:fldCharType="separate"/>
      </w:r>
      <w:r>
        <w:t>1</w:t>
      </w:r>
      <w:r>
        <w:fldChar w:fldCharType="end"/>
      </w:r>
      <w:r>
        <w:fldChar w:fldCharType="end"/>
      </w:r>
    </w:p>
    <w:p w14:paraId="7C339942">
      <w:pPr>
        <w:pStyle w:val="21"/>
        <w:tabs>
          <w:tab w:val="right" w:leader="dot" w:pos="9354"/>
        </w:tabs>
      </w:pPr>
      <w:r>
        <w:fldChar w:fldCharType="begin"/>
      </w:r>
      <w:r>
        <w:instrText xml:space="preserve"> HYPERLINK \l _Toc6534 </w:instrText>
      </w:r>
      <w:r>
        <w:fldChar w:fldCharType="separate"/>
      </w:r>
      <w:r>
        <w:rPr>
          <w:rFonts w:hint="eastAsia" w:ascii="黑体" w:eastAsia="黑体"/>
          <w:i w:val="0"/>
        </w:rPr>
        <w:t xml:space="preserve">3 </w:t>
      </w:r>
      <w:r>
        <w:rPr>
          <w:rFonts w:hint="eastAsia"/>
          <w:szCs w:val="21"/>
        </w:rPr>
        <w:t>术语和定义</w:t>
      </w:r>
      <w:r>
        <w:tab/>
      </w:r>
      <w:r>
        <w:fldChar w:fldCharType="begin"/>
      </w:r>
      <w:r>
        <w:instrText xml:space="preserve"> PAGEREF _Toc6534 \h </w:instrText>
      </w:r>
      <w:r>
        <w:fldChar w:fldCharType="separate"/>
      </w:r>
      <w:r>
        <w:t>1</w:t>
      </w:r>
      <w:r>
        <w:fldChar w:fldCharType="end"/>
      </w:r>
      <w:r>
        <w:fldChar w:fldCharType="end"/>
      </w:r>
    </w:p>
    <w:p w14:paraId="4922DECB">
      <w:pPr>
        <w:pStyle w:val="21"/>
        <w:tabs>
          <w:tab w:val="right" w:leader="dot" w:pos="9354"/>
        </w:tabs>
      </w:pPr>
      <w:r>
        <w:fldChar w:fldCharType="begin"/>
      </w:r>
      <w:r>
        <w:instrText xml:space="preserve"> HYPERLINK \l _Toc23104 </w:instrText>
      </w:r>
      <w:r>
        <w:fldChar w:fldCharType="separate"/>
      </w:r>
      <w:r>
        <w:rPr>
          <w:rFonts w:hint="eastAsia" w:ascii="黑体" w:eastAsia="黑体"/>
          <w:i w:val="0"/>
        </w:rPr>
        <w:t xml:space="preserve">4 </w:t>
      </w:r>
      <w:r>
        <w:rPr>
          <w:rFonts w:hint="eastAsia"/>
        </w:rPr>
        <w:t>缩略语</w:t>
      </w:r>
      <w:r>
        <w:tab/>
      </w:r>
      <w:r>
        <w:fldChar w:fldCharType="begin"/>
      </w:r>
      <w:r>
        <w:instrText xml:space="preserve"> PAGEREF _Toc23104 \h </w:instrText>
      </w:r>
      <w:r>
        <w:fldChar w:fldCharType="separate"/>
      </w:r>
      <w:r>
        <w:t>1</w:t>
      </w:r>
      <w:r>
        <w:fldChar w:fldCharType="end"/>
      </w:r>
      <w:r>
        <w:fldChar w:fldCharType="end"/>
      </w:r>
    </w:p>
    <w:p w14:paraId="487C8D75">
      <w:pPr>
        <w:pStyle w:val="21"/>
        <w:tabs>
          <w:tab w:val="right" w:leader="dot" w:pos="9354"/>
        </w:tabs>
      </w:pPr>
      <w:r>
        <w:fldChar w:fldCharType="begin"/>
      </w:r>
      <w:r>
        <w:instrText xml:space="preserve"> HYPERLINK \l _Toc2048 </w:instrText>
      </w:r>
      <w:r>
        <w:fldChar w:fldCharType="separate"/>
      </w:r>
      <w:r>
        <w:rPr>
          <w:rFonts w:hint="eastAsia" w:ascii="黑体" w:eastAsia="黑体"/>
          <w:i w:val="0"/>
        </w:rPr>
        <w:t xml:space="preserve">5 </w:t>
      </w:r>
      <w:r>
        <w:rPr>
          <w:rFonts w:hint="eastAsia"/>
        </w:rPr>
        <w:t>设备分类</w:t>
      </w:r>
      <w:r>
        <w:tab/>
      </w:r>
      <w:r>
        <w:fldChar w:fldCharType="begin"/>
      </w:r>
      <w:r>
        <w:instrText xml:space="preserve"> PAGEREF _Toc2048 \h </w:instrText>
      </w:r>
      <w:r>
        <w:fldChar w:fldCharType="separate"/>
      </w:r>
      <w:r>
        <w:t>2</w:t>
      </w:r>
      <w:r>
        <w:fldChar w:fldCharType="end"/>
      </w:r>
      <w:r>
        <w:fldChar w:fldCharType="end"/>
      </w:r>
    </w:p>
    <w:p w14:paraId="3F17515A">
      <w:pPr>
        <w:pStyle w:val="26"/>
        <w:tabs>
          <w:tab w:val="right" w:leader="dot" w:pos="9354"/>
          <w:tab w:val="clear" w:pos="9344"/>
        </w:tabs>
      </w:pPr>
      <w:r>
        <w:fldChar w:fldCharType="begin"/>
      </w:r>
      <w:r>
        <w:instrText xml:space="preserve"> HYPERLINK \l _Toc10338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5.1 </w:t>
      </w:r>
      <w:r>
        <w:rPr>
          <w:rFonts w:hint="eastAsia"/>
        </w:rPr>
        <w:t>外接式虚拟现实电影头戴式显示设备</w:t>
      </w:r>
      <w:r>
        <w:tab/>
      </w:r>
      <w:r>
        <w:fldChar w:fldCharType="begin"/>
      </w:r>
      <w:r>
        <w:instrText xml:space="preserve"> PAGEREF _Toc10338 \h </w:instrText>
      </w:r>
      <w:r>
        <w:fldChar w:fldCharType="separate"/>
      </w:r>
      <w:r>
        <w:t>2</w:t>
      </w:r>
      <w:r>
        <w:fldChar w:fldCharType="end"/>
      </w:r>
      <w:r>
        <w:fldChar w:fldCharType="end"/>
      </w:r>
    </w:p>
    <w:p w14:paraId="282AF58E">
      <w:pPr>
        <w:pStyle w:val="26"/>
        <w:tabs>
          <w:tab w:val="right" w:leader="dot" w:pos="9354"/>
          <w:tab w:val="clear" w:pos="9344"/>
        </w:tabs>
      </w:pPr>
      <w:r>
        <w:fldChar w:fldCharType="begin"/>
      </w:r>
      <w:r>
        <w:instrText xml:space="preserve"> HYPERLINK \l _Toc7689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5.2 </w:t>
      </w:r>
      <w:r>
        <w:rPr>
          <w:rFonts w:hint="eastAsia"/>
        </w:rPr>
        <w:t>一体式虚拟现实电影头戴式显示设备</w:t>
      </w:r>
      <w:r>
        <w:tab/>
      </w:r>
      <w:r>
        <w:fldChar w:fldCharType="begin"/>
      </w:r>
      <w:r>
        <w:instrText xml:space="preserve"> PAGEREF _Toc7689 \h </w:instrText>
      </w:r>
      <w:r>
        <w:fldChar w:fldCharType="separate"/>
      </w:r>
      <w:r>
        <w:t>2</w:t>
      </w:r>
      <w:r>
        <w:fldChar w:fldCharType="end"/>
      </w:r>
      <w:r>
        <w:fldChar w:fldCharType="end"/>
      </w:r>
    </w:p>
    <w:p w14:paraId="00DD423F">
      <w:pPr>
        <w:pStyle w:val="21"/>
        <w:tabs>
          <w:tab w:val="right" w:leader="dot" w:pos="9354"/>
        </w:tabs>
      </w:pPr>
      <w:r>
        <w:fldChar w:fldCharType="begin"/>
      </w:r>
      <w:r>
        <w:instrText xml:space="preserve"> HYPERLINK \l _Toc32159 </w:instrText>
      </w:r>
      <w:r>
        <w:fldChar w:fldCharType="separate"/>
      </w:r>
      <w:r>
        <w:rPr>
          <w:rFonts w:hint="eastAsia" w:ascii="黑体" w:eastAsia="黑体"/>
          <w:i w:val="0"/>
        </w:rPr>
        <w:t xml:space="preserve">6 </w:t>
      </w:r>
      <w:r>
        <w:rPr>
          <w:rFonts w:hint="eastAsia"/>
        </w:rPr>
        <w:t>技术要求</w:t>
      </w:r>
      <w:r>
        <w:tab/>
      </w:r>
      <w:r>
        <w:fldChar w:fldCharType="begin"/>
      </w:r>
      <w:r>
        <w:instrText xml:space="preserve"> PAGEREF _Toc32159 \h </w:instrText>
      </w:r>
      <w:r>
        <w:fldChar w:fldCharType="separate"/>
      </w:r>
      <w:r>
        <w:t>2</w:t>
      </w:r>
      <w:r>
        <w:fldChar w:fldCharType="end"/>
      </w:r>
      <w:r>
        <w:fldChar w:fldCharType="end"/>
      </w:r>
    </w:p>
    <w:p w14:paraId="70A9907F">
      <w:pPr>
        <w:pStyle w:val="26"/>
        <w:tabs>
          <w:tab w:val="right" w:leader="dot" w:pos="9354"/>
          <w:tab w:val="clear" w:pos="9344"/>
        </w:tabs>
      </w:pPr>
      <w:r>
        <w:fldChar w:fldCharType="begin"/>
      </w:r>
      <w:r>
        <w:instrText xml:space="preserve"> HYPERLINK \l _Toc3692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6.1 </w:t>
      </w:r>
      <w:r>
        <w:rPr>
          <w:rFonts w:hint="eastAsia"/>
        </w:rPr>
        <w:t>一般技术要求</w:t>
      </w:r>
      <w:r>
        <w:tab/>
      </w:r>
      <w:r>
        <w:fldChar w:fldCharType="begin"/>
      </w:r>
      <w:r>
        <w:instrText xml:space="preserve"> PAGEREF _Toc3692 \h </w:instrText>
      </w:r>
      <w:r>
        <w:fldChar w:fldCharType="separate"/>
      </w:r>
      <w:r>
        <w:t>2</w:t>
      </w:r>
      <w:r>
        <w:fldChar w:fldCharType="end"/>
      </w:r>
      <w:r>
        <w:fldChar w:fldCharType="end"/>
      </w:r>
    </w:p>
    <w:p w14:paraId="152BAD52">
      <w:pPr>
        <w:pStyle w:val="26"/>
        <w:tabs>
          <w:tab w:val="right" w:leader="dot" w:pos="9354"/>
          <w:tab w:val="clear" w:pos="9344"/>
        </w:tabs>
      </w:pPr>
      <w:r>
        <w:fldChar w:fldCharType="begin"/>
      </w:r>
      <w:r>
        <w:instrText xml:space="preserve"> HYPERLINK \l _Toc14789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6.2 </w:t>
      </w:r>
      <w:r>
        <w:rPr>
          <w:rFonts w:hint="eastAsia"/>
        </w:rPr>
        <w:t>接口要求</w:t>
      </w:r>
      <w:r>
        <w:tab/>
      </w:r>
      <w:r>
        <w:fldChar w:fldCharType="begin"/>
      </w:r>
      <w:r>
        <w:instrText xml:space="preserve"> PAGEREF _Toc14789 \h </w:instrText>
      </w:r>
      <w:r>
        <w:fldChar w:fldCharType="separate"/>
      </w:r>
      <w:r>
        <w:t>3</w:t>
      </w:r>
      <w:r>
        <w:fldChar w:fldCharType="end"/>
      </w:r>
      <w:r>
        <w:fldChar w:fldCharType="end"/>
      </w:r>
    </w:p>
    <w:p w14:paraId="586592E2">
      <w:pPr>
        <w:pStyle w:val="16"/>
        <w:tabs>
          <w:tab w:val="right" w:leader="dot" w:pos="9354"/>
        </w:tabs>
      </w:pPr>
      <w:r>
        <w:fldChar w:fldCharType="begin"/>
      </w:r>
      <w:r>
        <w:instrText xml:space="preserve"> HYPERLINK \l _Toc6445 </w:instrText>
      </w:r>
      <w:r>
        <w:fldChar w:fldCharType="separate"/>
      </w:r>
      <w:r>
        <w:rPr>
          <w:rFonts w:hint="eastAsia" w:ascii="黑体" w:eastAsia="黑体"/>
          <w:i w:val="0"/>
        </w:rPr>
        <w:t xml:space="preserve">6.2.1 </w:t>
      </w:r>
      <w:r>
        <w:rPr>
          <w:rFonts w:hint="eastAsia"/>
        </w:rPr>
        <w:t>数据传输接口</w:t>
      </w:r>
      <w:r>
        <w:tab/>
      </w:r>
      <w:r>
        <w:fldChar w:fldCharType="begin"/>
      </w:r>
      <w:r>
        <w:instrText xml:space="preserve"> PAGEREF _Toc6445 \h </w:instrText>
      </w:r>
      <w:r>
        <w:fldChar w:fldCharType="separate"/>
      </w:r>
      <w:r>
        <w:t>3</w:t>
      </w:r>
      <w:r>
        <w:fldChar w:fldCharType="end"/>
      </w:r>
      <w:r>
        <w:fldChar w:fldCharType="end"/>
      </w:r>
    </w:p>
    <w:p w14:paraId="054B3534">
      <w:pPr>
        <w:pStyle w:val="16"/>
        <w:tabs>
          <w:tab w:val="right" w:leader="dot" w:pos="9354"/>
        </w:tabs>
      </w:pPr>
      <w:r>
        <w:fldChar w:fldCharType="begin"/>
      </w:r>
      <w:r>
        <w:instrText xml:space="preserve"> HYPERLINK \l _Toc9866 </w:instrText>
      </w:r>
      <w:r>
        <w:fldChar w:fldCharType="separate"/>
      </w:r>
      <w:r>
        <w:rPr>
          <w:rFonts w:hint="eastAsia" w:ascii="黑体" w:eastAsia="黑体"/>
          <w:i w:val="0"/>
        </w:rPr>
        <w:t xml:space="preserve">6.2.2 </w:t>
      </w:r>
      <w:r>
        <w:rPr>
          <w:rFonts w:hint="eastAsia"/>
        </w:rPr>
        <w:t>网络接口</w:t>
      </w:r>
      <w:r>
        <w:tab/>
      </w:r>
      <w:r>
        <w:fldChar w:fldCharType="begin"/>
      </w:r>
      <w:r>
        <w:instrText xml:space="preserve"> PAGEREF _Toc9866 \h </w:instrText>
      </w:r>
      <w:r>
        <w:fldChar w:fldCharType="separate"/>
      </w:r>
      <w:r>
        <w:t>3</w:t>
      </w:r>
      <w:r>
        <w:fldChar w:fldCharType="end"/>
      </w:r>
      <w:r>
        <w:fldChar w:fldCharType="end"/>
      </w:r>
    </w:p>
    <w:p w14:paraId="30F2889A">
      <w:pPr>
        <w:pStyle w:val="16"/>
        <w:tabs>
          <w:tab w:val="right" w:leader="dot" w:pos="9354"/>
        </w:tabs>
      </w:pPr>
      <w:r>
        <w:fldChar w:fldCharType="begin"/>
      </w:r>
      <w:r>
        <w:instrText xml:space="preserve"> HYPERLINK \l _Toc19425 </w:instrText>
      </w:r>
      <w:r>
        <w:fldChar w:fldCharType="separate"/>
      </w:r>
      <w:r>
        <w:rPr>
          <w:rFonts w:hint="eastAsia" w:ascii="黑体" w:eastAsia="黑体"/>
          <w:i w:val="0"/>
        </w:rPr>
        <w:t xml:space="preserve">6.2.3 </w:t>
      </w:r>
      <w:r>
        <w:rPr>
          <w:rFonts w:hint="eastAsia"/>
        </w:rPr>
        <w:t>电源接口</w:t>
      </w:r>
      <w:r>
        <w:tab/>
      </w:r>
      <w:r>
        <w:fldChar w:fldCharType="begin"/>
      </w:r>
      <w:r>
        <w:instrText xml:space="preserve"> PAGEREF _Toc19425 \h </w:instrText>
      </w:r>
      <w:r>
        <w:fldChar w:fldCharType="separate"/>
      </w:r>
      <w:r>
        <w:t>3</w:t>
      </w:r>
      <w:r>
        <w:fldChar w:fldCharType="end"/>
      </w:r>
      <w:r>
        <w:fldChar w:fldCharType="end"/>
      </w:r>
    </w:p>
    <w:p w14:paraId="4F43F812">
      <w:pPr>
        <w:pStyle w:val="16"/>
        <w:tabs>
          <w:tab w:val="right" w:leader="dot" w:pos="9354"/>
        </w:tabs>
      </w:pPr>
      <w:r>
        <w:fldChar w:fldCharType="begin"/>
      </w:r>
      <w:r>
        <w:instrText xml:space="preserve"> HYPERLINK \l _Toc17158 </w:instrText>
      </w:r>
      <w:r>
        <w:fldChar w:fldCharType="separate"/>
      </w:r>
      <w:r>
        <w:rPr>
          <w:rFonts w:hint="eastAsia" w:ascii="黑体" w:eastAsia="黑体"/>
          <w:i w:val="0"/>
        </w:rPr>
        <w:t xml:space="preserve">6.2.4 </w:t>
      </w:r>
      <w:r>
        <w:rPr>
          <w:rFonts w:hint="eastAsia"/>
        </w:rPr>
        <w:t>外部视频输入接口</w:t>
      </w:r>
      <w:r>
        <w:tab/>
      </w:r>
      <w:r>
        <w:fldChar w:fldCharType="begin"/>
      </w:r>
      <w:r>
        <w:instrText xml:space="preserve"> PAGEREF _Toc17158 \h </w:instrText>
      </w:r>
      <w:r>
        <w:fldChar w:fldCharType="separate"/>
      </w:r>
      <w:r>
        <w:t>3</w:t>
      </w:r>
      <w:r>
        <w:fldChar w:fldCharType="end"/>
      </w:r>
      <w:r>
        <w:fldChar w:fldCharType="end"/>
      </w:r>
    </w:p>
    <w:p w14:paraId="5769E4F3">
      <w:pPr>
        <w:pStyle w:val="16"/>
        <w:tabs>
          <w:tab w:val="right" w:leader="dot" w:pos="9354"/>
        </w:tabs>
      </w:pPr>
      <w:r>
        <w:fldChar w:fldCharType="begin"/>
      </w:r>
      <w:r>
        <w:instrText xml:space="preserve"> HYPERLINK \l _Toc31180 </w:instrText>
      </w:r>
      <w:r>
        <w:fldChar w:fldCharType="separate"/>
      </w:r>
      <w:r>
        <w:rPr>
          <w:rFonts w:hint="eastAsia" w:ascii="黑体" w:eastAsia="黑体"/>
          <w:i w:val="0"/>
        </w:rPr>
        <w:t xml:space="preserve">6.2.5 </w:t>
      </w:r>
      <w:r>
        <w:rPr>
          <w:rFonts w:hint="eastAsia"/>
        </w:rPr>
        <w:t>外部音频输出接口</w:t>
      </w:r>
      <w:r>
        <w:tab/>
      </w:r>
      <w:r>
        <w:fldChar w:fldCharType="begin"/>
      </w:r>
      <w:r>
        <w:instrText xml:space="preserve"> PAGEREF _Toc31180 \h </w:instrText>
      </w:r>
      <w:r>
        <w:fldChar w:fldCharType="separate"/>
      </w:r>
      <w:r>
        <w:t>3</w:t>
      </w:r>
      <w:r>
        <w:fldChar w:fldCharType="end"/>
      </w:r>
      <w:r>
        <w:fldChar w:fldCharType="end"/>
      </w:r>
    </w:p>
    <w:p w14:paraId="7CA3BA14">
      <w:pPr>
        <w:pStyle w:val="26"/>
        <w:tabs>
          <w:tab w:val="right" w:leader="dot" w:pos="9354"/>
          <w:tab w:val="clear" w:pos="9344"/>
        </w:tabs>
      </w:pPr>
      <w:r>
        <w:fldChar w:fldCharType="begin"/>
      </w:r>
      <w:r>
        <w:instrText xml:space="preserve"> HYPERLINK \l _Toc19400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6.3 </w:t>
      </w:r>
      <w:r>
        <w:rPr>
          <w:rFonts w:hint="eastAsia"/>
        </w:rPr>
        <w:t>放映安全要求</w:t>
      </w:r>
      <w:r>
        <w:tab/>
      </w:r>
      <w:r>
        <w:fldChar w:fldCharType="begin"/>
      </w:r>
      <w:r>
        <w:instrText xml:space="preserve"> PAGEREF _Toc19400 \h </w:instrText>
      </w:r>
      <w:r>
        <w:fldChar w:fldCharType="separate"/>
      </w:r>
      <w:r>
        <w:t>3</w:t>
      </w:r>
      <w:r>
        <w:fldChar w:fldCharType="end"/>
      </w:r>
      <w:r>
        <w:fldChar w:fldCharType="end"/>
      </w:r>
    </w:p>
    <w:p w14:paraId="7F9716E9">
      <w:pPr>
        <w:pStyle w:val="16"/>
        <w:tabs>
          <w:tab w:val="right" w:leader="dot" w:pos="9354"/>
        </w:tabs>
      </w:pPr>
      <w:r>
        <w:fldChar w:fldCharType="begin"/>
      </w:r>
      <w:r>
        <w:instrText xml:space="preserve"> HYPERLINK \l _Toc21020 </w:instrText>
      </w:r>
      <w:r>
        <w:fldChar w:fldCharType="separate"/>
      </w:r>
      <w:r>
        <w:rPr>
          <w:rFonts w:hint="eastAsia" w:ascii="黑体" w:eastAsia="黑体"/>
          <w:i w:val="0"/>
        </w:rPr>
        <w:t xml:space="preserve">6.3.1 </w:t>
      </w:r>
      <w:r>
        <w:rPr>
          <w:rFonts w:hint="eastAsia"/>
        </w:rPr>
        <w:t>数字水印功能</w:t>
      </w:r>
      <w:r>
        <w:tab/>
      </w:r>
      <w:r>
        <w:fldChar w:fldCharType="begin"/>
      </w:r>
      <w:r>
        <w:instrText xml:space="preserve"> PAGEREF _Toc21020 \h </w:instrText>
      </w:r>
      <w:r>
        <w:fldChar w:fldCharType="separate"/>
      </w:r>
      <w:r>
        <w:t>3</w:t>
      </w:r>
      <w:r>
        <w:fldChar w:fldCharType="end"/>
      </w:r>
      <w:r>
        <w:fldChar w:fldCharType="end"/>
      </w:r>
    </w:p>
    <w:p w14:paraId="30009235">
      <w:pPr>
        <w:pStyle w:val="16"/>
        <w:tabs>
          <w:tab w:val="right" w:leader="dot" w:pos="9354"/>
        </w:tabs>
      </w:pPr>
      <w:r>
        <w:fldChar w:fldCharType="begin"/>
      </w:r>
      <w:r>
        <w:instrText xml:space="preserve"> HYPERLINK \l _Toc27838 </w:instrText>
      </w:r>
      <w:r>
        <w:fldChar w:fldCharType="separate"/>
      </w:r>
      <w:r>
        <w:rPr>
          <w:rFonts w:hint="eastAsia" w:ascii="黑体" w:eastAsia="黑体"/>
          <w:i w:val="0"/>
        </w:rPr>
        <w:t xml:space="preserve">6.3.2 </w:t>
      </w:r>
      <w:r>
        <w:rPr>
          <w:rFonts w:hint="eastAsia"/>
        </w:rPr>
        <w:t>图像数据安全</w:t>
      </w:r>
      <w:r>
        <w:tab/>
      </w:r>
      <w:r>
        <w:fldChar w:fldCharType="begin"/>
      </w:r>
      <w:r>
        <w:instrText xml:space="preserve"> PAGEREF _Toc27838 \h </w:instrText>
      </w:r>
      <w:r>
        <w:fldChar w:fldCharType="separate"/>
      </w:r>
      <w:r>
        <w:t>3</w:t>
      </w:r>
      <w:r>
        <w:fldChar w:fldCharType="end"/>
      </w:r>
      <w:r>
        <w:fldChar w:fldCharType="end"/>
      </w:r>
    </w:p>
    <w:p w14:paraId="702DAB4B">
      <w:pPr>
        <w:pStyle w:val="26"/>
        <w:tabs>
          <w:tab w:val="right" w:leader="dot" w:pos="9354"/>
          <w:tab w:val="clear" w:pos="9344"/>
        </w:tabs>
      </w:pPr>
      <w:r>
        <w:fldChar w:fldCharType="begin"/>
      </w:r>
      <w:r>
        <w:instrText xml:space="preserve"> HYPERLINK \l _Toc27820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6.4 </w:t>
      </w:r>
      <w:r>
        <w:rPr>
          <w:rFonts w:hint="eastAsia"/>
        </w:rPr>
        <w:t>其他要求</w:t>
      </w:r>
      <w:r>
        <w:tab/>
      </w:r>
      <w:r>
        <w:fldChar w:fldCharType="begin"/>
      </w:r>
      <w:r>
        <w:instrText xml:space="preserve"> PAGEREF _Toc27820 \h </w:instrText>
      </w:r>
      <w:r>
        <w:fldChar w:fldCharType="separate"/>
      </w:r>
      <w:r>
        <w:t>3</w:t>
      </w:r>
      <w:r>
        <w:fldChar w:fldCharType="end"/>
      </w:r>
      <w:r>
        <w:fldChar w:fldCharType="end"/>
      </w:r>
    </w:p>
    <w:p w14:paraId="7126CDD3">
      <w:pPr>
        <w:pStyle w:val="16"/>
        <w:tabs>
          <w:tab w:val="right" w:leader="dot" w:pos="9354"/>
        </w:tabs>
      </w:pPr>
      <w:r>
        <w:fldChar w:fldCharType="begin"/>
      </w:r>
      <w:r>
        <w:instrText xml:space="preserve"> HYPERLINK \l _Toc13139 </w:instrText>
      </w:r>
      <w:r>
        <w:fldChar w:fldCharType="separate"/>
      </w:r>
      <w:r>
        <w:rPr>
          <w:rFonts w:hint="eastAsia" w:ascii="黑体" w:eastAsia="黑体"/>
          <w:i w:val="0"/>
        </w:rPr>
        <w:t xml:space="preserve">6.4.1 </w:t>
      </w:r>
      <w:r>
        <w:rPr>
          <w:rFonts w:hint="eastAsia"/>
        </w:rPr>
        <w:t>头戴部分尺寸</w:t>
      </w:r>
      <w:r>
        <w:tab/>
      </w:r>
      <w:r>
        <w:fldChar w:fldCharType="begin"/>
      </w:r>
      <w:r>
        <w:instrText xml:space="preserve"> PAGEREF _Toc13139 \h </w:instrText>
      </w:r>
      <w:r>
        <w:fldChar w:fldCharType="separate"/>
      </w:r>
      <w:r>
        <w:t>3</w:t>
      </w:r>
      <w:r>
        <w:fldChar w:fldCharType="end"/>
      </w:r>
      <w:r>
        <w:fldChar w:fldCharType="end"/>
      </w:r>
    </w:p>
    <w:p w14:paraId="17528866">
      <w:pPr>
        <w:pStyle w:val="16"/>
        <w:tabs>
          <w:tab w:val="right" w:leader="dot" w:pos="9354"/>
        </w:tabs>
      </w:pPr>
      <w:r>
        <w:fldChar w:fldCharType="begin"/>
      </w:r>
      <w:r>
        <w:instrText xml:space="preserve"> HYPERLINK \l _Toc10810 </w:instrText>
      </w:r>
      <w:r>
        <w:fldChar w:fldCharType="separate"/>
      </w:r>
      <w:r>
        <w:rPr>
          <w:rFonts w:hint="eastAsia" w:ascii="黑体" w:eastAsia="黑体"/>
          <w:i w:val="0"/>
        </w:rPr>
        <w:t xml:space="preserve">6.4.2 </w:t>
      </w:r>
      <w:r>
        <w:rPr>
          <w:rFonts w:hint="eastAsia"/>
        </w:rPr>
        <w:t>菜单功能</w:t>
      </w:r>
      <w:r>
        <w:tab/>
      </w:r>
      <w:r>
        <w:fldChar w:fldCharType="begin"/>
      </w:r>
      <w:r>
        <w:instrText xml:space="preserve"> PAGEREF _Toc10810 \h </w:instrText>
      </w:r>
      <w:r>
        <w:fldChar w:fldCharType="separate"/>
      </w:r>
      <w:r>
        <w:t>3</w:t>
      </w:r>
      <w:r>
        <w:fldChar w:fldCharType="end"/>
      </w:r>
      <w:r>
        <w:fldChar w:fldCharType="end"/>
      </w:r>
    </w:p>
    <w:p w14:paraId="0B3EC470">
      <w:pPr>
        <w:pStyle w:val="16"/>
        <w:tabs>
          <w:tab w:val="right" w:leader="dot" w:pos="9354"/>
        </w:tabs>
      </w:pPr>
      <w:r>
        <w:fldChar w:fldCharType="begin"/>
      </w:r>
      <w:r>
        <w:instrText xml:space="preserve"> HYPERLINK \l _Toc19044 </w:instrText>
      </w:r>
      <w:r>
        <w:fldChar w:fldCharType="separate"/>
      </w:r>
      <w:r>
        <w:rPr>
          <w:rFonts w:hint="eastAsia" w:ascii="黑体" w:eastAsia="黑体"/>
          <w:i w:val="0"/>
        </w:rPr>
        <w:t xml:space="preserve">6.4.3 </w:t>
      </w:r>
      <w:r>
        <w:rPr>
          <w:rFonts w:hint="eastAsia"/>
        </w:rPr>
        <w:t>持续播放时间</w:t>
      </w:r>
      <w:r>
        <w:tab/>
      </w:r>
      <w:r>
        <w:fldChar w:fldCharType="begin"/>
      </w:r>
      <w:r>
        <w:instrText xml:space="preserve"> PAGEREF _Toc19044 \h </w:instrText>
      </w:r>
      <w:r>
        <w:fldChar w:fldCharType="separate"/>
      </w:r>
      <w:r>
        <w:t>3</w:t>
      </w:r>
      <w:r>
        <w:fldChar w:fldCharType="end"/>
      </w:r>
      <w:r>
        <w:fldChar w:fldCharType="end"/>
      </w:r>
    </w:p>
    <w:p w14:paraId="44A66E1D">
      <w:pPr>
        <w:pStyle w:val="16"/>
        <w:tabs>
          <w:tab w:val="right" w:leader="dot" w:pos="9354"/>
        </w:tabs>
      </w:pPr>
      <w:r>
        <w:fldChar w:fldCharType="begin"/>
      </w:r>
      <w:r>
        <w:instrText xml:space="preserve"> HYPERLINK \l _Toc27382 </w:instrText>
      </w:r>
      <w:r>
        <w:fldChar w:fldCharType="separate"/>
      </w:r>
      <w:r>
        <w:rPr>
          <w:rFonts w:hint="eastAsia" w:ascii="黑体" w:eastAsia="黑体"/>
          <w:i w:val="0"/>
        </w:rPr>
        <w:t xml:space="preserve">6.4.4 </w:t>
      </w:r>
      <w:r>
        <w:rPr>
          <w:rFonts w:hint="eastAsia"/>
        </w:rPr>
        <w:t>外观和结构</w:t>
      </w:r>
      <w:r>
        <w:tab/>
      </w:r>
      <w:r>
        <w:fldChar w:fldCharType="begin"/>
      </w:r>
      <w:r>
        <w:instrText xml:space="preserve"> PAGEREF _Toc27382 \h </w:instrText>
      </w:r>
      <w:r>
        <w:fldChar w:fldCharType="separate"/>
      </w:r>
      <w:r>
        <w:t>3</w:t>
      </w:r>
      <w:r>
        <w:fldChar w:fldCharType="end"/>
      </w:r>
      <w:r>
        <w:fldChar w:fldCharType="end"/>
      </w:r>
    </w:p>
    <w:p w14:paraId="52E510F7">
      <w:pPr>
        <w:pStyle w:val="16"/>
        <w:tabs>
          <w:tab w:val="right" w:leader="dot" w:pos="9354"/>
        </w:tabs>
      </w:pPr>
      <w:r>
        <w:fldChar w:fldCharType="begin"/>
      </w:r>
      <w:r>
        <w:instrText xml:space="preserve"> HYPERLINK \l _Toc5888 </w:instrText>
      </w:r>
      <w:r>
        <w:fldChar w:fldCharType="separate"/>
      </w:r>
      <w:r>
        <w:rPr>
          <w:rFonts w:hint="eastAsia" w:ascii="黑体" w:eastAsia="黑体"/>
          <w:i w:val="0"/>
        </w:rPr>
        <w:t xml:space="preserve">6.4.5 </w:t>
      </w:r>
      <w:r>
        <w:rPr>
          <w:rFonts w:hint="eastAsia"/>
        </w:rPr>
        <w:t>电源适应能力</w:t>
      </w:r>
      <w:r>
        <w:tab/>
      </w:r>
      <w:r>
        <w:fldChar w:fldCharType="begin"/>
      </w:r>
      <w:r>
        <w:instrText xml:space="preserve"> PAGEREF _Toc5888 \h </w:instrText>
      </w:r>
      <w:r>
        <w:fldChar w:fldCharType="separate"/>
      </w:r>
      <w:r>
        <w:t>4</w:t>
      </w:r>
      <w:r>
        <w:fldChar w:fldCharType="end"/>
      </w:r>
      <w:r>
        <w:fldChar w:fldCharType="end"/>
      </w:r>
    </w:p>
    <w:p w14:paraId="5E515165">
      <w:pPr>
        <w:pStyle w:val="16"/>
        <w:tabs>
          <w:tab w:val="right" w:leader="dot" w:pos="9354"/>
        </w:tabs>
      </w:pPr>
      <w:r>
        <w:fldChar w:fldCharType="begin"/>
      </w:r>
      <w:r>
        <w:instrText xml:space="preserve"> HYPERLINK \l _Toc30414 </w:instrText>
      </w:r>
      <w:r>
        <w:fldChar w:fldCharType="separate"/>
      </w:r>
      <w:r>
        <w:rPr>
          <w:rFonts w:hint="eastAsia" w:ascii="黑体" w:eastAsia="黑体"/>
          <w:i w:val="0"/>
        </w:rPr>
        <w:t xml:space="preserve">6.4.6 </w:t>
      </w:r>
      <w:r>
        <w:rPr>
          <w:rFonts w:hint="eastAsia"/>
        </w:rPr>
        <w:t>温度适应能力</w:t>
      </w:r>
      <w:r>
        <w:tab/>
      </w:r>
      <w:r>
        <w:fldChar w:fldCharType="begin"/>
      </w:r>
      <w:r>
        <w:instrText xml:space="preserve"> PAGEREF _Toc30414 \h </w:instrText>
      </w:r>
      <w:r>
        <w:fldChar w:fldCharType="separate"/>
      </w:r>
      <w:r>
        <w:t>4</w:t>
      </w:r>
      <w:r>
        <w:fldChar w:fldCharType="end"/>
      </w:r>
      <w:r>
        <w:fldChar w:fldCharType="end"/>
      </w:r>
    </w:p>
    <w:p w14:paraId="2B4ECD08">
      <w:pPr>
        <w:pStyle w:val="21"/>
        <w:tabs>
          <w:tab w:val="right" w:leader="dot" w:pos="9354"/>
        </w:tabs>
      </w:pPr>
      <w:r>
        <w:fldChar w:fldCharType="begin"/>
      </w:r>
      <w:r>
        <w:instrText xml:space="preserve"> HYPERLINK \l _Toc17427 </w:instrText>
      </w:r>
      <w:r>
        <w:fldChar w:fldCharType="separate"/>
      </w:r>
      <w:r>
        <w:rPr>
          <w:rFonts w:hint="eastAsia" w:ascii="黑体" w:eastAsia="黑体"/>
          <w:i w:val="0"/>
        </w:rPr>
        <w:t xml:space="preserve">7 </w:t>
      </w:r>
      <w:r>
        <w:rPr>
          <w:rFonts w:hint="eastAsia"/>
        </w:rPr>
        <w:t>测量方法</w:t>
      </w:r>
      <w:r>
        <w:tab/>
      </w:r>
      <w:r>
        <w:fldChar w:fldCharType="begin"/>
      </w:r>
      <w:r>
        <w:instrText xml:space="preserve"> PAGEREF _Toc17427 \h </w:instrText>
      </w:r>
      <w:r>
        <w:fldChar w:fldCharType="separate"/>
      </w:r>
      <w:r>
        <w:t>4</w:t>
      </w:r>
      <w:r>
        <w:fldChar w:fldCharType="end"/>
      </w:r>
      <w:r>
        <w:fldChar w:fldCharType="end"/>
      </w:r>
    </w:p>
    <w:p w14:paraId="45E24CC4">
      <w:pPr>
        <w:pStyle w:val="26"/>
        <w:tabs>
          <w:tab w:val="right" w:leader="dot" w:pos="9354"/>
          <w:tab w:val="clear" w:pos="9344"/>
        </w:tabs>
      </w:pPr>
      <w:r>
        <w:fldChar w:fldCharType="begin"/>
      </w:r>
      <w:r>
        <w:instrText xml:space="preserve"> HYPERLINK \l _Toc3306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7.1 </w:t>
      </w:r>
      <w:r>
        <w:rPr>
          <w:rFonts w:hint="eastAsia"/>
        </w:rPr>
        <w:t>测量环境</w:t>
      </w:r>
      <w:r>
        <w:tab/>
      </w:r>
      <w:r>
        <w:fldChar w:fldCharType="begin"/>
      </w:r>
      <w:r>
        <w:instrText xml:space="preserve"> PAGEREF _Toc3306 \h </w:instrText>
      </w:r>
      <w:r>
        <w:fldChar w:fldCharType="separate"/>
      </w:r>
      <w:r>
        <w:t>4</w:t>
      </w:r>
      <w:r>
        <w:fldChar w:fldCharType="end"/>
      </w:r>
      <w:r>
        <w:fldChar w:fldCharType="end"/>
      </w:r>
    </w:p>
    <w:p w14:paraId="258833A6">
      <w:pPr>
        <w:pStyle w:val="16"/>
        <w:tabs>
          <w:tab w:val="right" w:leader="dot" w:pos="9354"/>
        </w:tabs>
      </w:pPr>
      <w:r>
        <w:fldChar w:fldCharType="begin"/>
      </w:r>
      <w:r>
        <w:instrText xml:space="preserve"> HYPERLINK \l _Toc31842 </w:instrText>
      </w:r>
      <w:r>
        <w:fldChar w:fldCharType="separate"/>
      </w:r>
      <w:r>
        <w:rPr>
          <w:rFonts w:hint="eastAsia" w:ascii="黑体" w:eastAsia="黑体"/>
          <w:i w:val="0"/>
        </w:rPr>
        <w:t xml:space="preserve">7.1.1 </w:t>
      </w:r>
      <w:r>
        <w:rPr>
          <w:rFonts w:hint="eastAsia"/>
        </w:rPr>
        <w:t>场地</w:t>
      </w:r>
      <w:r>
        <w:tab/>
      </w:r>
      <w:r>
        <w:fldChar w:fldCharType="begin"/>
      </w:r>
      <w:r>
        <w:instrText xml:space="preserve"> PAGEREF _Toc31842 \h </w:instrText>
      </w:r>
      <w:r>
        <w:fldChar w:fldCharType="separate"/>
      </w:r>
      <w:r>
        <w:t>4</w:t>
      </w:r>
      <w:r>
        <w:fldChar w:fldCharType="end"/>
      </w:r>
      <w:r>
        <w:fldChar w:fldCharType="end"/>
      </w:r>
    </w:p>
    <w:p w14:paraId="6270086D">
      <w:pPr>
        <w:pStyle w:val="16"/>
        <w:tabs>
          <w:tab w:val="right" w:leader="dot" w:pos="9354"/>
        </w:tabs>
      </w:pPr>
      <w:r>
        <w:fldChar w:fldCharType="begin"/>
      </w:r>
      <w:r>
        <w:instrText xml:space="preserve"> HYPERLINK \l _Toc31793 </w:instrText>
      </w:r>
      <w:r>
        <w:fldChar w:fldCharType="separate"/>
      </w:r>
      <w:r>
        <w:rPr>
          <w:rFonts w:hint="eastAsia" w:ascii="黑体" w:eastAsia="黑体"/>
          <w:i w:val="0"/>
        </w:rPr>
        <w:t xml:space="preserve">7.1.2 </w:t>
      </w:r>
      <w:r>
        <w:rPr>
          <w:rFonts w:hint="eastAsia"/>
        </w:rPr>
        <w:t>环境光</w:t>
      </w:r>
      <w:r>
        <w:tab/>
      </w:r>
      <w:r>
        <w:fldChar w:fldCharType="begin"/>
      </w:r>
      <w:r>
        <w:instrText xml:space="preserve"> PAGEREF _Toc31793 \h </w:instrText>
      </w:r>
      <w:r>
        <w:fldChar w:fldCharType="separate"/>
      </w:r>
      <w:r>
        <w:t>4</w:t>
      </w:r>
      <w:r>
        <w:fldChar w:fldCharType="end"/>
      </w:r>
      <w:r>
        <w:fldChar w:fldCharType="end"/>
      </w:r>
    </w:p>
    <w:p w14:paraId="2409C975">
      <w:pPr>
        <w:pStyle w:val="16"/>
        <w:tabs>
          <w:tab w:val="right" w:leader="dot" w:pos="9354"/>
        </w:tabs>
      </w:pPr>
      <w:r>
        <w:fldChar w:fldCharType="begin"/>
      </w:r>
      <w:r>
        <w:instrText xml:space="preserve"> HYPERLINK \l _Toc19853 </w:instrText>
      </w:r>
      <w:r>
        <w:fldChar w:fldCharType="separate"/>
      </w:r>
      <w:r>
        <w:rPr>
          <w:rFonts w:hint="eastAsia" w:ascii="黑体" w:eastAsia="黑体"/>
          <w:i w:val="0"/>
        </w:rPr>
        <w:t xml:space="preserve">7.1.3 </w:t>
      </w:r>
      <w:r>
        <w:rPr>
          <w:rFonts w:hint="eastAsia"/>
        </w:rPr>
        <w:t>环境温度</w:t>
      </w:r>
      <w:r>
        <w:tab/>
      </w:r>
      <w:r>
        <w:fldChar w:fldCharType="begin"/>
      </w:r>
      <w:r>
        <w:instrText xml:space="preserve"> PAGEREF _Toc19853 \h </w:instrText>
      </w:r>
      <w:r>
        <w:fldChar w:fldCharType="separate"/>
      </w:r>
      <w:r>
        <w:t>4</w:t>
      </w:r>
      <w:r>
        <w:fldChar w:fldCharType="end"/>
      </w:r>
      <w:r>
        <w:fldChar w:fldCharType="end"/>
      </w:r>
    </w:p>
    <w:p w14:paraId="0192152E">
      <w:pPr>
        <w:pStyle w:val="16"/>
        <w:tabs>
          <w:tab w:val="right" w:leader="dot" w:pos="9354"/>
        </w:tabs>
      </w:pPr>
      <w:r>
        <w:fldChar w:fldCharType="begin"/>
      </w:r>
      <w:r>
        <w:instrText xml:space="preserve"> HYPERLINK \l _Toc29904 </w:instrText>
      </w:r>
      <w:r>
        <w:fldChar w:fldCharType="separate"/>
      </w:r>
      <w:r>
        <w:rPr>
          <w:rFonts w:hint="eastAsia" w:ascii="黑体" w:eastAsia="黑体"/>
          <w:i w:val="0"/>
        </w:rPr>
        <w:t xml:space="preserve">7.1.4 </w:t>
      </w:r>
      <w:r>
        <w:rPr>
          <w:rFonts w:hint="eastAsia"/>
        </w:rPr>
        <w:t>环境相对湿度</w:t>
      </w:r>
      <w:r>
        <w:tab/>
      </w:r>
      <w:r>
        <w:fldChar w:fldCharType="begin"/>
      </w:r>
      <w:r>
        <w:instrText xml:space="preserve"> PAGEREF _Toc29904 \h </w:instrText>
      </w:r>
      <w:r>
        <w:fldChar w:fldCharType="separate"/>
      </w:r>
      <w:r>
        <w:t>4</w:t>
      </w:r>
      <w:r>
        <w:fldChar w:fldCharType="end"/>
      </w:r>
      <w:r>
        <w:fldChar w:fldCharType="end"/>
      </w:r>
    </w:p>
    <w:p w14:paraId="14390871">
      <w:pPr>
        <w:pStyle w:val="16"/>
        <w:tabs>
          <w:tab w:val="right" w:leader="dot" w:pos="9354"/>
        </w:tabs>
      </w:pPr>
      <w:r>
        <w:fldChar w:fldCharType="begin"/>
      </w:r>
      <w:r>
        <w:instrText xml:space="preserve"> HYPERLINK \l _Toc17388 </w:instrText>
      </w:r>
      <w:r>
        <w:fldChar w:fldCharType="separate"/>
      </w:r>
      <w:r>
        <w:rPr>
          <w:rFonts w:hint="eastAsia" w:ascii="黑体" w:eastAsia="黑体"/>
          <w:i w:val="0"/>
        </w:rPr>
        <w:t xml:space="preserve">7.1.5 </w:t>
      </w:r>
      <w:r>
        <w:rPr>
          <w:rFonts w:hint="eastAsia"/>
        </w:rPr>
        <w:t>环境大气压力</w:t>
      </w:r>
      <w:r>
        <w:tab/>
      </w:r>
      <w:r>
        <w:fldChar w:fldCharType="begin"/>
      </w:r>
      <w:r>
        <w:instrText xml:space="preserve"> PAGEREF _Toc17388 \h </w:instrText>
      </w:r>
      <w:r>
        <w:fldChar w:fldCharType="separate"/>
      </w:r>
      <w:r>
        <w:t>4</w:t>
      </w:r>
      <w:r>
        <w:fldChar w:fldCharType="end"/>
      </w:r>
      <w:r>
        <w:fldChar w:fldCharType="end"/>
      </w:r>
    </w:p>
    <w:p w14:paraId="50CFBA1E">
      <w:pPr>
        <w:pStyle w:val="16"/>
        <w:tabs>
          <w:tab w:val="right" w:leader="dot" w:pos="9354"/>
        </w:tabs>
      </w:pPr>
      <w:r>
        <w:fldChar w:fldCharType="begin"/>
      </w:r>
      <w:r>
        <w:instrText xml:space="preserve"> HYPERLINK \l _Toc793 </w:instrText>
      </w:r>
      <w:r>
        <w:fldChar w:fldCharType="separate"/>
      </w:r>
      <w:r>
        <w:rPr>
          <w:rFonts w:hint="eastAsia" w:ascii="黑体" w:eastAsia="黑体"/>
          <w:i w:val="0"/>
        </w:rPr>
        <w:t xml:space="preserve">7.1.6 </w:t>
      </w:r>
      <w:r>
        <w:rPr>
          <w:rFonts w:hint="eastAsia"/>
        </w:rPr>
        <w:t>交流电源</w:t>
      </w:r>
      <w:r>
        <w:tab/>
      </w:r>
      <w:r>
        <w:fldChar w:fldCharType="begin"/>
      </w:r>
      <w:r>
        <w:instrText xml:space="preserve"> PAGEREF _Toc793 \h </w:instrText>
      </w:r>
      <w:r>
        <w:fldChar w:fldCharType="separate"/>
      </w:r>
      <w:r>
        <w:t>4</w:t>
      </w:r>
      <w:r>
        <w:fldChar w:fldCharType="end"/>
      </w:r>
      <w:r>
        <w:fldChar w:fldCharType="end"/>
      </w:r>
    </w:p>
    <w:p w14:paraId="1E0E9F0B">
      <w:pPr>
        <w:pStyle w:val="26"/>
        <w:tabs>
          <w:tab w:val="right" w:leader="dot" w:pos="9354"/>
          <w:tab w:val="clear" w:pos="9344"/>
        </w:tabs>
      </w:pPr>
      <w:r>
        <w:fldChar w:fldCharType="begin"/>
      </w:r>
      <w:r>
        <w:instrText xml:space="preserve"> HYPERLINK \l _Toc3713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7.2 </w:t>
      </w:r>
      <w:r>
        <w:rPr>
          <w:rFonts w:hint="eastAsia"/>
        </w:rPr>
        <w:t>测量信号和测量仪器</w:t>
      </w:r>
      <w:r>
        <w:tab/>
      </w:r>
      <w:r>
        <w:fldChar w:fldCharType="begin"/>
      </w:r>
      <w:r>
        <w:instrText xml:space="preserve"> PAGEREF _Toc3713 \h </w:instrText>
      </w:r>
      <w:r>
        <w:fldChar w:fldCharType="separate"/>
      </w:r>
      <w:r>
        <w:t>4</w:t>
      </w:r>
      <w:r>
        <w:fldChar w:fldCharType="end"/>
      </w:r>
      <w:r>
        <w:fldChar w:fldCharType="end"/>
      </w:r>
    </w:p>
    <w:p w14:paraId="4508003B">
      <w:pPr>
        <w:pStyle w:val="16"/>
        <w:tabs>
          <w:tab w:val="right" w:leader="dot" w:pos="9354"/>
        </w:tabs>
      </w:pPr>
      <w:r>
        <w:fldChar w:fldCharType="begin"/>
      </w:r>
      <w:r>
        <w:instrText xml:space="preserve"> HYPERLINK \l _Toc26162 </w:instrText>
      </w:r>
      <w:r>
        <w:fldChar w:fldCharType="separate"/>
      </w:r>
      <w:r>
        <w:rPr>
          <w:rFonts w:hint="eastAsia" w:ascii="黑体" w:eastAsia="黑体"/>
          <w:i w:val="0"/>
        </w:rPr>
        <w:t xml:space="preserve">7.2.1 </w:t>
      </w:r>
      <w:r>
        <w:rPr>
          <w:rFonts w:hint="eastAsia"/>
        </w:rPr>
        <w:t>分光计</w:t>
      </w:r>
      <w:r>
        <w:tab/>
      </w:r>
      <w:r>
        <w:fldChar w:fldCharType="begin"/>
      </w:r>
      <w:r>
        <w:instrText xml:space="preserve"> PAGEREF _Toc26162 \h </w:instrText>
      </w:r>
      <w:r>
        <w:fldChar w:fldCharType="separate"/>
      </w:r>
      <w:r>
        <w:t>4</w:t>
      </w:r>
      <w:r>
        <w:fldChar w:fldCharType="end"/>
      </w:r>
      <w:r>
        <w:fldChar w:fldCharType="end"/>
      </w:r>
    </w:p>
    <w:p w14:paraId="20C56ECE">
      <w:pPr>
        <w:pStyle w:val="16"/>
        <w:tabs>
          <w:tab w:val="right" w:leader="dot" w:pos="9354"/>
        </w:tabs>
      </w:pPr>
      <w:r>
        <w:fldChar w:fldCharType="begin"/>
      </w:r>
      <w:r>
        <w:instrText xml:space="preserve"> HYPERLINK \l _Toc13143 </w:instrText>
      </w:r>
      <w:r>
        <w:fldChar w:fldCharType="separate"/>
      </w:r>
      <w:r>
        <w:rPr>
          <w:rFonts w:hint="eastAsia" w:ascii="黑体" w:eastAsia="黑体"/>
          <w:i w:val="0"/>
        </w:rPr>
        <w:t xml:space="preserve">7.2.2 </w:t>
      </w:r>
      <w:r>
        <w:rPr>
          <w:rFonts w:hint="eastAsia"/>
        </w:rPr>
        <w:t>成像式亮度计</w:t>
      </w:r>
      <w:r>
        <w:tab/>
      </w:r>
      <w:r>
        <w:fldChar w:fldCharType="begin"/>
      </w:r>
      <w:r>
        <w:instrText xml:space="preserve"> PAGEREF _Toc13143 \h </w:instrText>
      </w:r>
      <w:r>
        <w:fldChar w:fldCharType="separate"/>
      </w:r>
      <w:r>
        <w:t>4</w:t>
      </w:r>
      <w:r>
        <w:fldChar w:fldCharType="end"/>
      </w:r>
      <w:r>
        <w:fldChar w:fldCharType="end"/>
      </w:r>
    </w:p>
    <w:p w14:paraId="394E1401">
      <w:pPr>
        <w:pStyle w:val="16"/>
        <w:tabs>
          <w:tab w:val="right" w:leader="dot" w:pos="9354"/>
        </w:tabs>
      </w:pPr>
      <w:r>
        <w:fldChar w:fldCharType="begin"/>
      </w:r>
      <w:r>
        <w:instrText xml:space="preserve"> HYPERLINK \l _Toc18797 </w:instrText>
      </w:r>
      <w:r>
        <w:fldChar w:fldCharType="separate"/>
      </w:r>
      <w:r>
        <w:rPr>
          <w:rFonts w:hint="eastAsia" w:ascii="黑体" w:eastAsia="黑体"/>
          <w:i w:val="0"/>
        </w:rPr>
        <w:t xml:space="preserve">7.2.3 </w:t>
      </w:r>
      <w:r>
        <w:rPr>
          <w:rFonts w:hint="eastAsia"/>
        </w:rPr>
        <w:t>成像式色度计</w:t>
      </w:r>
      <w:r>
        <w:tab/>
      </w:r>
      <w:r>
        <w:fldChar w:fldCharType="begin"/>
      </w:r>
      <w:r>
        <w:instrText xml:space="preserve"> PAGEREF _Toc18797 \h </w:instrText>
      </w:r>
      <w:r>
        <w:fldChar w:fldCharType="separate"/>
      </w:r>
      <w:r>
        <w:t>4</w:t>
      </w:r>
      <w:r>
        <w:fldChar w:fldCharType="end"/>
      </w:r>
      <w:r>
        <w:fldChar w:fldCharType="end"/>
      </w:r>
    </w:p>
    <w:p w14:paraId="3158D05C">
      <w:pPr>
        <w:pStyle w:val="16"/>
        <w:tabs>
          <w:tab w:val="right" w:leader="dot" w:pos="9354"/>
        </w:tabs>
      </w:pPr>
      <w:r>
        <w:fldChar w:fldCharType="begin"/>
      </w:r>
      <w:r>
        <w:instrText xml:space="preserve"> HYPERLINK \l _Toc24585 </w:instrText>
      </w:r>
      <w:r>
        <w:fldChar w:fldCharType="separate"/>
      </w:r>
      <w:r>
        <w:rPr>
          <w:rFonts w:hint="eastAsia" w:ascii="黑体" w:eastAsia="黑体"/>
          <w:i w:val="0"/>
        </w:rPr>
        <w:t xml:space="preserve">7.2.4 </w:t>
      </w:r>
      <w:r>
        <w:rPr>
          <w:rFonts w:hint="eastAsia"/>
        </w:rPr>
        <w:t>长度尺</w:t>
      </w:r>
      <w:r>
        <w:tab/>
      </w:r>
      <w:r>
        <w:fldChar w:fldCharType="begin"/>
      </w:r>
      <w:r>
        <w:instrText xml:space="preserve"> PAGEREF _Toc24585 \h </w:instrText>
      </w:r>
      <w:r>
        <w:fldChar w:fldCharType="separate"/>
      </w:r>
      <w:r>
        <w:t>5</w:t>
      </w:r>
      <w:r>
        <w:fldChar w:fldCharType="end"/>
      </w:r>
      <w:r>
        <w:fldChar w:fldCharType="end"/>
      </w:r>
    </w:p>
    <w:p w14:paraId="4ED2683C">
      <w:pPr>
        <w:pStyle w:val="16"/>
        <w:tabs>
          <w:tab w:val="right" w:leader="dot" w:pos="9354"/>
        </w:tabs>
      </w:pPr>
      <w:r>
        <w:fldChar w:fldCharType="begin"/>
      </w:r>
      <w:r>
        <w:instrText xml:space="preserve"> HYPERLINK \l _Toc23880 </w:instrText>
      </w:r>
      <w:r>
        <w:fldChar w:fldCharType="separate"/>
      </w:r>
      <w:r>
        <w:rPr>
          <w:rFonts w:hint="eastAsia" w:ascii="黑体" w:eastAsia="黑体"/>
          <w:i w:val="0"/>
        </w:rPr>
        <w:t xml:space="preserve">7.2.5 </w:t>
      </w:r>
      <w:r>
        <w:rPr>
          <w:rFonts w:hint="eastAsia"/>
        </w:rPr>
        <w:t>测量用程控电源</w:t>
      </w:r>
      <w:r>
        <w:tab/>
      </w:r>
      <w:r>
        <w:fldChar w:fldCharType="begin"/>
      </w:r>
      <w:r>
        <w:instrText xml:space="preserve"> PAGEREF _Toc23880 \h </w:instrText>
      </w:r>
      <w:r>
        <w:fldChar w:fldCharType="separate"/>
      </w:r>
      <w:r>
        <w:t>5</w:t>
      </w:r>
      <w:r>
        <w:fldChar w:fldCharType="end"/>
      </w:r>
      <w:r>
        <w:fldChar w:fldCharType="end"/>
      </w:r>
    </w:p>
    <w:p w14:paraId="1A857DAF">
      <w:pPr>
        <w:pStyle w:val="16"/>
        <w:tabs>
          <w:tab w:val="right" w:leader="dot" w:pos="9354"/>
        </w:tabs>
      </w:pPr>
      <w:r>
        <w:fldChar w:fldCharType="begin"/>
      </w:r>
      <w:r>
        <w:instrText xml:space="preserve"> HYPERLINK \l _Toc32579 </w:instrText>
      </w:r>
      <w:r>
        <w:fldChar w:fldCharType="separate"/>
      </w:r>
      <w:r>
        <w:rPr>
          <w:rFonts w:hint="eastAsia" w:ascii="黑体" w:eastAsia="黑体"/>
          <w:i w:val="0"/>
        </w:rPr>
        <w:t xml:space="preserve">7.2.6 </w:t>
      </w:r>
      <w:r>
        <w:rPr>
          <w:rFonts w:hint="eastAsia"/>
        </w:rPr>
        <w:t>视频信号发生器</w:t>
      </w:r>
      <w:r>
        <w:tab/>
      </w:r>
      <w:r>
        <w:fldChar w:fldCharType="begin"/>
      </w:r>
      <w:r>
        <w:instrText xml:space="preserve"> PAGEREF _Toc32579 \h </w:instrText>
      </w:r>
      <w:r>
        <w:fldChar w:fldCharType="separate"/>
      </w:r>
      <w:r>
        <w:t>5</w:t>
      </w:r>
      <w:r>
        <w:fldChar w:fldCharType="end"/>
      </w:r>
      <w:r>
        <w:fldChar w:fldCharType="end"/>
      </w:r>
    </w:p>
    <w:p w14:paraId="2DE26FA4">
      <w:pPr>
        <w:pStyle w:val="16"/>
        <w:tabs>
          <w:tab w:val="right" w:leader="dot" w:pos="9354"/>
        </w:tabs>
      </w:pPr>
      <w:r>
        <w:fldChar w:fldCharType="begin"/>
      </w:r>
      <w:r>
        <w:instrText xml:space="preserve"> HYPERLINK \l _Toc30040 </w:instrText>
      </w:r>
      <w:r>
        <w:fldChar w:fldCharType="separate"/>
      </w:r>
      <w:r>
        <w:rPr>
          <w:rFonts w:hint="eastAsia" w:ascii="黑体" w:eastAsia="黑体"/>
          <w:i w:val="0"/>
        </w:rPr>
        <w:t xml:space="preserve">7.2.7 </w:t>
      </w:r>
      <w:r>
        <w:rPr>
          <w:rFonts w:hint="eastAsia"/>
        </w:rPr>
        <w:t>高低温试验箱</w:t>
      </w:r>
      <w:r>
        <w:tab/>
      </w:r>
      <w:r>
        <w:fldChar w:fldCharType="begin"/>
      </w:r>
      <w:r>
        <w:instrText xml:space="preserve"> PAGEREF _Toc30040 \h </w:instrText>
      </w:r>
      <w:r>
        <w:fldChar w:fldCharType="separate"/>
      </w:r>
      <w:r>
        <w:t>5</w:t>
      </w:r>
      <w:r>
        <w:fldChar w:fldCharType="end"/>
      </w:r>
      <w:r>
        <w:fldChar w:fldCharType="end"/>
      </w:r>
    </w:p>
    <w:p w14:paraId="4F60E202">
      <w:pPr>
        <w:pStyle w:val="16"/>
        <w:tabs>
          <w:tab w:val="right" w:leader="dot" w:pos="9354"/>
        </w:tabs>
      </w:pPr>
      <w:r>
        <w:fldChar w:fldCharType="begin"/>
      </w:r>
      <w:r>
        <w:instrText xml:space="preserve"> HYPERLINK \l _Toc17271 </w:instrText>
      </w:r>
      <w:r>
        <w:fldChar w:fldCharType="separate"/>
      </w:r>
      <w:r>
        <w:rPr>
          <w:rFonts w:hint="eastAsia" w:ascii="黑体" w:eastAsia="黑体"/>
          <w:i w:val="0"/>
        </w:rPr>
        <w:t xml:space="preserve">7.2.8 </w:t>
      </w:r>
      <w:r>
        <w:rPr>
          <w:rFonts w:hint="eastAsia"/>
        </w:rPr>
        <w:t>全视场边框信号</w:t>
      </w:r>
      <w:r>
        <w:tab/>
      </w:r>
      <w:r>
        <w:fldChar w:fldCharType="begin"/>
      </w:r>
      <w:r>
        <w:instrText xml:space="preserve"> PAGEREF _Toc17271 \h </w:instrText>
      </w:r>
      <w:r>
        <w:fldChar w:fldCharType="separate"/>
      </w:r>
      <w:r>
        <w:t>5</w:t>
      </w:r>
      <w:r>
        <w:fldChar w:fldCharType="end"/>
      </w:r>
      <w:r>
        <w:fldChar w:fldCharType="end"/>
      </w:r>
    </w:p>
    <w:p w14:paraId="1B68F70A">
      <w:pPr>
        <w:pStyle w:val="16"/>
        <w:tabs>
          <w:tab w:val="right" w:leader="dot" w:pos="9354"/>
        </w:tabs>
      </w:pPr>
      <w:r>
        <w:fldChar w:fldCharType="begin"/>
      </w:r>
      <w:r>
        <w:instrText xml:space="preserve"> HYPERLINK \l _Toc15028 </w:instrText>
      </w:r>
      <w:r>
        <w:fldChar w:fldCharType="separate"/>
      </w:r>
      <w:r>
        <w:rPr>
          <w:rFonts w:hint="eastAsia" w:ascii="黑体" w:eastAsia="黑体"/>
          <w:i w:val="0"/>
        </w:rPr>
        <w:t xml:space="preserve">7.2.9 </w:t>
      </w:r>
      <w:r>
        <w:rPr>
          <w:rFonts w:hint="eastAsia"/>
        </w:rPr>
        <w:t>白场、黑场测量信号</w:t>
      </w:r>
      <w:r>
        <w:tab/>
      </w:r>
      <w:r>
        <w:fldChar w:fldCharType="begin"/>
      </w:r>
      <w:r>
        <w:instrText xml:space="preserve"> PAGEREF _Toc15028 \h </w:instrText>
      </w:r>
      <w:r>
        <w:fldChar w:fldCharType="separate"/>
      </w:r>
      <w:r>
        <w:t>5</w:t>
      </w:r>
      <w:r>
        <w:fldChar w:fldCharType="end"/>
      </w:r>
      <w:r>
        <w:fldChar w:fldCharType="end"/>
      </w:r>
    </w:p>
    <w:p w14:paraId="061B3198">
      <w:pPr>
        <w:pStyle w:val="16"/>
        <w:tabs>
          <w:tab w:val="right" w:leader="dot" w:pos="9354"/>
        </w:tabs>
      </w:pPr>
      <w:r>
        <w:fldChar w:fldCharType="begin"/>
      </w:r>
      <w:r>
        <w:instrText xml:space="preserve"> HYPERLINK \l _Toc6177 </w:instrText>
      </w:r>
      <w:r>
        <w:fldChar w:fldCharType="separate"/>
      </w:r>
      <w:r>
        <w:rPr>
          <w:rFonts w:hint="eastAsia" w:ascii="黑体" w:eastAsia="黑体"/>
          <w:i w:val="0"/>
        </w:rPr>
        <w:t xml:space="preserve">7.2.10 </w:t>
      </w:r>
      <w:r>
        <w:rPr>
          <w:rFonts w:hint="eastAsia"/>
        </w:rPr>
        <w:t>红场、绿场、蓝场测量信号</w:t>
      </w:r>
      <w:r>
        <w:tab/>
      </w:r>
      <w:r>
        <w:fldChar w:fldCharType="begin"/>
      </w:r>
      <w:r>
        <w:instrText xml:space="preserve"> PAGEREF _Toc6177 \h </w:instrText>
      </w:r>
      <w:r>
        <w:fldChar w:fldCharType="separate"/>
      </w:r>
      <w:r>
        <w:t>5</w:t>
      </w:r>
      <w:r>
        <w:fldChar w:fldCharType="end"/>
      </w:r>
      <w:r>
        <w:fldChar w:fldCharType="end"/>
      </w:r>
    </w:p>
    <w:p w14:paraId="20B822E2">
      <w:pPr>
        <w:pStyle w:val="16"/>
        <w:tabs>
          <w:tab w:val="right" w:leader="dot" w:pos="9354"/>
        </w:tabs>
      </w:pPr>
      <w:r>
        <w:fldChar w:fldCharType="begin"/>
      </w:r>
      <w:r>
        <w:instrText xml:space="preserve"> HYPERLINK \l _Toc16029 </w:instrText>
      </w:r>
      <w:r>
        <w:fldChar w:fldCharType="separate"/>
      </w:r>
      <w:r>
        <w:rPr>
          <w:rFonts w:hint="eastAsia" w:ascii="黑体" w:eastAsia="黑体"/>
          <w:i w:val="0"/>
        </w:rPr>
        <w:t xml:space="preserve">7.2.11 </w:t>
      </w:r>
      <w:r>
        <w:rPr>
          <w:rFonts w:hint="eastAsia"/>
        </w:rPr>
        <w:t>主视场畸变测量信号</w:t>
      </w:r>
      <w:r>
        <w:tab/>
      </w:r>
      <w:r>
        <w:fldChar w:fldCharType="begin"/>
      </w:r>
      <w:r>
        <w:instrText xml:space="preserve"> PAGEREF _Toc16029 \h </w:instrText>
      </w:r>
      <w:r>
        <w:fldChar w:fldCharType="separate"/>
      </w:r>
      <w:r>
        <w:t>5</w:t>
      </w:r>
      <w:r>
        <w:fldChar w:fldCharType="end"/>
      </w:r>
      <w:r>
        <w:fldChar w:fldCharType="end"/>
      </w:r>
    </w:p>
    <w:p w14:paraId="4DD37FF0">
      <w:pPr>
        <w:pStyle w:val="26"/>
        <w:tabs>
          <w:tab w:val="right" w:leader="dot" w:pos="9354"/>
          <w:tab w:val="clear" w:pos="9344"/>
        </w:tabs>
      </w:pPr>
      <w:r>
        <w:fldChar w:fldCharType="begin"/>
      </w:r>
      <w:r>
        <w:instrText xml:space="preserve"> HYPERLINK \l _Toc13905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7.3 </w:t>
      </w:r>
      <w:r>
        <w:rPr>
          <w:rFonts w:hint="eastAsia"/>
        </w:rPr>
        <w:t>测量步骤</w:t>
      </w:r>
      <w:r>
        <w:tab/>
      </w:r>
      <w:r>
        <w:fldChar w:fldCharType="begin"/>
      </w:r>
      <w:r>
        <w:instrText xml:space="preserve"> PAGEREF _Toc13905 \h </w:instrText>
      </w:r>
      <w:r>
        <w:fldChar w:fldCharType="separate"/>
      </w:r>
      <w:r>
        <w:t>5</w:t>
      </w:r>
      <w:r>
        <w:fldChar w:fldCharType="end"/>
      </w:r>
      <w:r>
        <w:fldChar w:fldCharType="end"/>
      </w:r>
    </w:p>
    <w:p w14:paraId="5D138866">
      <w:pPr>
        <w:pStyle w:val="16"/>
        <w:tabs>
          <w:tab w:val="right" w:leader="dot" w:pos="9354"/>
        </w:tabs>
      </w:pPr>
      <w:r>
        <w:fldChar w:fldCharType="begin"/>
      </w:r>
      <w:r>
        <w:instrText xml:space="preserve"> HYPERLINK \l _Toc22384 </w:instrText>
      </w:r>
      <w:r>
        <w:fldChar w:fldCharType="separate"/>
      </w:r>
      <w:r>
        <w:rPr>
          <w:rFonts w:hint="eastAsia" w:ascii="黑体" w:eastAsia="黑体"/>
          <w:i w:val="0"/>
        </w:rPr>
        <w:t xml:space="preserve">7.3.1 </w:t>
      </w:r>
      <w:r>
        <w:rPr>
          <w:rFonts w:hint="eastAsia"/>
        </w:rPr>
        <w:t>视场角测量</w:t>
      </w:r>
      <w:r>
        <w:tab/>
      </w:r>
      <w:r>
        <w:fldChar w:fldCharType="begin"/>
      </w:r>
      <w:r>
        <w:instrText xml:space="preserve"> PAGEREF _Toc22384 \h </w:instrText>
      </w:r>
      <w:r>
        <w:fldChar w:fldCharType="separate"/>
      </w:r>
      <w:r>
        <w:t>5</w:t>
      </w:r>
      <w:r>
        <w:fldChar w:fldCharType="end"/>
      </w:r>
      <w:r>
        <w:fldChar w:fldCharType="end"/>
      </w:r>
    </w:p>
    <w:p w14:paraId="371E0528">
      <w:pPr>
        <w:pStyle w:val="16"/>
        <w:tabs>
          <w:tab w:val="right" w:leader="dot" w:pos="9354"/>
        </w:tabs>
      </w:pPr>
      <w:r>
        <w:fldChar w:fldCharType="begin"/>
      </w:r>
      <w:r>
        <w:instrText xml:space="preserve"> HYPERLINK \l _Toc15952 </w:instrText>
      </w:r>
      <w:r>
        <w:fldChar w:fldCharType="separate"/>
      </w:r>
      <w:r>
        <w:rPr>
          <w:rFonts w:hint="eastAsia" w:ascii="黑体" w:eastAsia="黑体"/>
          <w:i w:val="0"/>
        </w:rPr>
        <w:t xml:space="preserve">7.3.2 </w:t>
      </w:r>
      <w:r>
        <w:rPr>
          <w:rFonts w:hint="eastAsia"/>
        </w:rPr>
        <w:t>瞳距范围测量</w:t>
      </w:r>
      <w:r>
        <w:tab/>
      </w:r>
      <w:r>
        <w:fldChar w:fldCharType="begin"/>
      </w:r>
      <w:r>
        <w:instrText xml:space="preserve"> PAGEREF _Toc15952 \h </w:instrText>
      </w:r>
      <w:r>
        <w:fldChar w:fldCharType="separate"/>
      </w:r>
      <w:r>
        <w:t>6</w:t>
      </w:r>
      <w:r>
        <w:fldChar w:fldCharType="end"/>
      </w:r>
      <w:r>
        <w:fldChar w:fldCharType="end"/>
      </w:r>
    </w:p>
    <w:p w14:paraId="467D8192">
      <w:pPr>
        <w:pStyle w:val="16"/>
        <w:tabs>
          <w:tab w:val="right" w:leader="dot" w:pos="9354"/>
        </w:tabs>
      </w:pPr>
      <w:r>
        <w:fldChar w:fldCharType="begin"/>
      </w:r>
      <w:r>
        <w:instrText xml:space="preserve"> HYPERLINK \l _Toc16938 </w:instrText>
      </w:r>
      <w:r>
        <w:fldChar w:fldCharType="separate"/>
      </w:r>
      <w:r>
        <w:rPr>
          <w:rFonts w:hint="eastAsia" w:ascii="黑体" w:eastAsia="黑体"/>
          <w:i w:val="0"/>
        </w:rPr>
        <w:t xml:space="preserve">7.3.3 </w:t>
      </w:r>
      <w:r>
        <w:rPr>
          <w:rFonts w:hint="eastAsia"/>
        </w:rPr>
        <w:t>出瞳距离和出瞳直径</w:t>
      </w:r>
      <w:r>
        <w:tab/>
      </w:r>
      <w:r>
        <w:fldChar w:fldCharType="begin"/>
      </w:r>
      <w:r>
        <w:instrText xml:space="preserve"> PAGEREF _Toc16938 \h </w:instrText>
      </w:r>
      <w:r>
        <w:fldChar w:fldCharType="separate"/>
      </w:r>
      <w:r>
        <w:t>7</w:t>
      </w:r>
      <w:r>
        <w:fldChar w:fldCharType="end"/>
      </w:r>
      <w:r>
        <w:fldChar w:fldCharType="end"/>
      </w:r>
    </w:p>
    <w:p w14:paraId="6290F4AA">
      <w:pPr>
        <w:pStyle w:val="16"/>
        <w:tabs>
          <w:tab w:val="right" w:leader="dot" w:pos="9354"/>
        </w:tabs>
      </w:pPr>
      <w:r>
        <w:fldChar w:fldCharType="begin"/>
      </w:r>
      <w:r>
        <w:instrText xml:space="preserve"> HYPERLINK \l _Toc1946 </w:instrText>
      </w:r>
      <w:r>
        <w:fldChar w:fldCharType="separate"/>
      </w:r>
      <w:r>
        <w:rPr>
          <w:rFonts w:hint="eastAsia" w:ascii="黑体" w:eastAsia="黑体"/>
          <w:i w:val="0"/>
        </w:rPr>
        <w:t xml:space="preserve">7.3.4 </w:t>
      </w:r>
      <w:r>
        <w:rPr>
          <w:rFonts w:hint="eastAsia"/>
        </w:rPr>
        <w:t>主视场畸变测量</w:t>
      </w:r>
      <w:r>
        <w:tab/>
      </w:r>
      <w:r>
        <w:fldChar w:fldCharType="begin"/>
      </w:r>
      <w:r>
        <w:instrText xml:space="preserve"> PAGEREF _Toc1946 \h </w:instrText>
      </w:r>
      <w:r>
        <w:fldChar w:fldCharType="separate"/>
      </w:r>
      <w:r>
        <w:t>7</w:t>
      </w:r>
      <w:r>
        <w:fldChar w:fldCharType="end"/>
      </w:r>
      <w:r>
        <w:fldChar w:fldCharType="end"/>
      </w:r>
    </w:p>
    <w:p w14:paraId="26431529">
      <w:pPr>
        <w:pStyle w:val="16"/>
        <w:tabs>
          <w:tab w:val="right" w:leader="dot" w:pos="9354"/>
        </w:tabs>
      </w:pPr>
      <w:r>
        <w:fldChar w:fldCharType="begin"/>
      </w:r>
      <w:r>
        <w:instrText xml:space="preserve"> HYPERLINK \l _Toc5380 </w:instrText>
      </w:r>
      <w:r>
        <w:fldChar w:fldCharType="separate"/>
      </w:r>
      <w:r>
        <w:rPr>
          <w:rFonts w:hint="eastAsia" w:ascii="黑体" w:eastAsia="黑体"/>
          <w:i w:val="0"/>
        </w:rPr>
        <w:t xml:space="preserve">7.3.5 </w:t>
      </w:r>
      <w:r>
        <w:rPr>
          <w:rFonts w:hint="eastAsia"/>
        </w:rPr>
        <w:t>中心点色彩还原测量</w:t>
      </w:r>
      <w:r>
        <w:tab/>
      </w:r>
      <w:r>
        <w:fldChar w:fldCharType="begin"/>
      </w:r>
      <w:r>
        <w:instrText xml:space="preserve"> PAGEREF _Toc5380 \h </w:instrText>
      </w:r>
      <w:r>
        <w:fldChar w:fldCharType="separate"/>
      </w:r>
      <w:r>
        <w:t>8</w:t>
      </w:r>
      <w:r>
        <w:fldChar w:fldCharType="end"/>
      </w:r>
      <w:r>
        <w:fldChar w:fldCharType="end"/>
      </w:r>
    </w:p>
    <w:p w14:paraId="20D1ED58">
      <w:pPr>
        <w:pStyle w:val="16"/>
        <w:tabs>
          <w:tab w:val="right" w:leader="dot" w:pos="9354"/>
        </w:tabs>
      </w:pPr>
      <w:r>
        <w:fldChar w:fldCharType="begin"/>
      </w:r>
      <w:r>
        <w:instrText xml:space="preserve"> HYPERLINK \l _Toc8582 </w:instrText>
      </w:r>
      <w:r>
        <w:fldChar w:fldCharType="separate"/>
      </w:r>
      <w:r>
        <w:rPr>
          <w:rFonts w:hint="eastAsia" w:ascii="黑体" w:eastAsia="黑体"/>
          <w:i w:val="0"/>
        </w:rPr>
        <w:t xml:space="preserve">7.3.6 </w:t>
      </w:r>
      <w:r>
        <w:rPr>
          <w:rFonts w:hint="eastAsia"/>
        </w:rPr>
        <w:t>色度均匀性测量</w:t>
      </w:r>
      <w:r>
        <w:tab/>
      </w:r>
      <w:r>
        <w:fldChar w:fldCharType="begin"/>
      </w:r>
      <w:r>
        <w:instrText xml:space="preserve"> PAGEREF _Toc8582 \h </w:instrText>
      </w:r>
      <w:r>
        <w:fldChar w:fldCharType="separate"/>
      </w:r>
      <w:r>
        <w:t>8</w:t>
      </w:r>
      <w:r>
        <w:fldChar w:fldCharType="end"/>
      </w:r>
      <w:r>
        <w:fldChar w:fldCharType="end"/>
      </w:r>
    </w:p>
    <w:p w14:paraId="3D648C20">
      <w:pPr>
        <w:pStyle w:val="16"/>
        <w:tabs>
          <w:tab w:val="right" w:leader="dot" w:pos="9354"/>
        </w:tabs>
      </w:pPr>
      <w:r>
        <w:fldChar w:fldCharType="begin"/>
      </w:r>
      <w:r>
        <w:instrText xml:space="preserve"> HYPERLINK \l _Toc13295 </w:instrText>
      </w:r>
      <w:r>
        <w:fldChar w:fldCharType="separate"/>
      </w:r>
      <w:r>
        <w:rPr>
          <w:rFonts w:hint="eastAsia" w:ascii="黑体" w:hAnsi="黑体" w:eastAsia="黑体"/>
          <w:i w:val="0"/>
        </w:rPr>
        <w:t xml:space="preserve">7.3.7 </w:t>
      </w:r>
      <w:r>
        <w:rPr>
          <w:rFonts w:hint="eastAsia" w:hAnsi="黑体"/>
        </w:rPr>
        <w:t>单眼显示分辨率测量</w:t>
      </w:r>
      <w:r>
        <w:tab/>
      </w:r>
      <w:r>
        <w:fldChar w:fldCharType="begin"/>
      </w:r>
      <w:r>
        <w:instrText xml:space="preserve"> PAGEREF _Toc13295 \h </w:instrText>
      </w:r>
      <w:r>
        <w:fldChar w:fldCharType="separate"/>
      </w:r>
      <w:r>
        <w:t>9</w:t>
      </w:r>
      <w:r>
        <w:fldChar w:fldCharType="end"/>
      </w:r>
      <w:r>
        <w:fldChar w:fldCharType="end"/>
      </w:r>
    </w:p>
    <w:p w14:paraId="19884145">
      <w:pPr>
        <w:pStyle w:val="16"/>
        <w:tabs>
          <w:tab w:val="right" w:leader="dot" w:pos="9354"/>
        </w:tabs>
      </w:pPr>
      <w:r>
        <w:fldChar w:fldCharType="begin"/>
      </w:r>
      <w:r>
        <w:instrText xml:space="preserve"> HYPERLINK \l _Toc4691 </w:instrText>
      </w:r>
      <w:r>
        <w:fldChar w:fldCharType="separate"/>
      </w:r>
      <w:r>
        <w:rPr>
          <w:rFonts w:hint="eastAsia" w:ascii="黑体" w:hAnsi="黑体" w:eastAsia="黑体"/>
          <w:i w:val="0"/>
        </w:rPr>
        <w:t xml:space="preserve">7.3.8 </w:t>
      </w:r>
      <w:r>
        <w:rPr>
          <w:rFonts w:hint="eastAsia" w:hAnsi="黑体"/>
          <w:highlight w:val="none"/>
        </w:rPr>
        <w:t>渲染分辨率测量</w:t>
      </w:r>
      <w:r>
        <w:tab/>
      </w:r>
      <w:r>
        <w:fldChar w:fldCharType="begin"/>
      </w:r>
      <w:r>
        <w:instrText xml:space="preserve"> PAGEREF _Toc4691 \h </w:instrText>
      </w:r>
      <w:r>
        <w:fldChar w:fldCharType="separate"/>
      </w:r>
      <w:r>
        <w:t>9</w:t>
      </w:r>
      <w:r>
        <w:fldChar w:fldCharType="end"/>
      </w:r>
      <w:r>
        <w:fldChar w:fldCharType="end"/>
      </w:r>
    </w:p>
    <w:p w14:paraId="42A0CBEB">
      <w:pPr>
        <w:pStyle w:val="16"/>
        <w:tabs>
          <w:tab w:val="right" w:leader="dot" w:pos="9354"/>
        </w:tabs>
      </w:pPr>
      <w:r>
        <w:fldChar w:fldCharType="begin"/>
      </w:r>
      <w:r>
        <w:instrText xml:space="preserve"> HYPERLINK \l _Toc15868 </w:instrText>
      </w:r>
      <w:r>
        <w:fldChar w:fldCharType="separate"/>
      </w:r>
      <w:r>
        <w:rPr>
          <w:rFonts w:hint="eastAsia" w:ascii="黑体" w:hAnsi="黑体" w:eastAsia="黑体"/>
          <w:i w:val="0"/>
        </w:rPr>
        <w:t xml:space="preserve">7.3.9 </w:t>
      </w:r>
      <w:r>
        <w:rPr>
          <w:rFonts w:hint="eastAsia" w:hAnsi="黑体"/>
          <w:highlight w:val="none"/>
        </w:rPr>
        <w:t>画质测</w:t>
      </w:r>
      <w:r>
        <w:rPr>
          <w:rFonts w:hint="eastAsia" w:hAnsi="黑体"/>
        </w:rPr>
        <w:t>量</w:t>
      </w:r>
      <w:r>
        <w:tab/>
      </w:r>
      <w:r>
        <w:fldChar w:fldCharType="begin"/>
      </w:r>
      <w:r>
        <w:instrText xml:space="preserve"> PAGEREF _Toc15868 \h </w:instrText>
      </w:r>
      <w:r>
        <w:fldChar w:fldCharType="separate"/>
      </w:r>
      <w:r>
        <w:t>9</w:t>
      </w:r>
      <w:r>
        <w:fldChar w:fldCharType="end"/>
      </w:r>
      <w:r>
        <w:fldChar w:fldCharType="end"/>
      </w:r>
    </w:p>
    <w:p w14:paraId="6AF0181B">
      <w:pPr>
        <w:pStyle w:val="16"/>
        <w:tabs>
          <w:tab w:val="right" w:leader="dot" w:pos="9354"/>
        </w:tabs>
      </w:pPr>
      <w:r>
        <w:fldChar w:fldCharType="begin"/>
      </w:r>
      <w:r>
        <w:instrText xml:space="preserve"> HYPERLINK \l _Toc3954 </w:instrText>
      </w:r>
      <w:r>
        <w:fldChar w:fldCharType="separate"/>
      </w:r>
      <w:r>
        <w:rPr>
          <w:rFonts w:hint="eastAsia" w:ascii="黑体" w:hAnsi="黑体" w:eastAsia="黑体"/>
          <w:i w:val="0"/>
        </w:rPr>
        <w:t xml:space="preserve">7.3.10 </w:t>
      </w:r>
      <w:r>
        <w:rPr>
          <w:rFonts w:hint="eastAsia" w:hAnsi="黑体"/>
        </w:rPr>
        <w:t>显示刷新率测量</w:t>
      </w:r>
      <w:r>
        <w:tab/>
      </w:r>
      <w:r>
        <w:fldChar w:fldCharType="begin"/>
      </w:r>
      <w:r>
        <w:instrText xml:space="preserve"> PAGEREF _Toc3954 \h </w:instrText>
      </w:r>
      <w:r>
        <w:fldChar w:fldCharType="separate"/>
      </w:r>
      <w:r>
        <w:t>10</w:t>
      </w:r>
      <w:r>
        <w:fldChar w:fldCharType="end"/>
      </w:r>
      <w:r>
        <w:fldChar w:fldCharType="end"/>
      </w:r>
    </w:p>
    <w:p w14:paraId="6C64AB86">
      <w:pPr>
        <w:pStyle w:val="16"/>
        <w:tabs>
          <w:tab w:val="right" w:leader="dot" w:pos="9354"/>
        </w:tabs>
      </w:pPr>
      <w:r>
        <w:fldChar w:fldCharType="begin"/>
      </w:r>
      <w:r>
        <w:instrText xml:space="preserve"> HYPERLINK \l _Toc25328 </w:instrText>
      </w:r>
      <w:r>
        <w:fldChar w:fldCharType="separate"/>
      </w:r>
      <w:r>
        <w:rPr>
          <w:rFonts w:hint="eastAsia" w:ascii="黑体" w:eastAsia="黑体"/>
          <w:i w:val="0"/>
          <w:szCs w:val="21"/>
        </w:rPr>
        <w:t xml:space="preserve">7.3.11 </w:t>
      </w:r>
      <w:r>
        <w:rPr>
          <w:rFonts w:hint="eastAsia"/>
        </w:rPr>
        <w:t>亮度对比度测量</w:t>
      </w:r>
      <w:r>
        <w:tab/>
      </w:r>
      <w:r>
        <w:fldChar w:fldCharType="begin"/>
      </w:r>
      <w:r>
        <w:instrText xml:space="preserve"> PAGEREF _Toc25328 \h </w:instrText>
      </w:r>
      <w:r>
        <w:fldChar w:fldCharType="separate"/>
      </w:r>
      <w:r>
        <w:t>10</w:t>
      </w:r>
      <w:r>
        <w:fldChar w:fldCharType="end"/>
      </w:r>
      <w:r>
        <w:fldChar w:fldCharType="end"/>
      </w:r>
    </w:p>
    <w:p w14:paraId="4859FC0B">
      <w:pPr>
        <w:pStyle w:val="16"/>
        <w:tabs>
          <w:tab w:val="right" w:leader="dot" w:pos="9354"/>
        </w:tabs>
      </w:pPr>
      <w:r>
        <w:fldChar w:fldCharType="begin"/>
      </w:r>
      <w:r>
        <w:instrText xml:space="preserve"> HYPERLINK \l _Toc322 </w:instrText>
      </w:r>
      <w:r>
        <w:fldChar w:fldCharType="separate"/>
      </w:r>
      <w:r>
        <w:rPr>
          <w:rFonts w:hint="eastAsia" w:ascii="黑体" w:hAnsi="黑体" w:eastAsia="黑体"/>
          <w:i w:val="0"/>
        </w:rPr>
        <w:t xml:space="preserve">7.3.12 </w:t>
      </w:r>
      <w:r>
        <w:rPr>
          <w:rFonts w:hint="eastAsia" w:hAnsi="黑体"/>
        </w:rPr>
        <w:t>跟踪模式测量</w:t>
      </w:r>
      <w:r>
        <w:tab/>
      </w:r>
      <w:r>
        <w:fldChar w:fldCharType="begin"/>
      </w:r>
      <w:r>
        <w:instrText xml:space="preserve"> PAGEREF _Toc322 \h </w:instrText>
      </w:r>
      <w:r>
        <w:fldChar w:fldCharType="separate"/>
      </w:r>
      <w:r>
        <w:t>11</w:t>
      </w:r>
      <w:r>
        <w:fldChar w:fldCharType="end"/>
      </w:r>
      <w:r>
        <w:fldChar w:fldCharType="end"/>
      </w:r>
    </w:p>
    <w:p w14:paraId="09617B2C">
      <w:pPr>
        <w:pStyle w:val="16"/>
        <w:tabs>
          <w:tab w:val="right" w:leader="dot" w:pos="9354"/>
        </w:tabs>
      </w:pPr>
      <w:r>
        <w:fldChar w:fldCharType="begin"/>
      </w:r>
      <w:r>
        <w:instrText xml:space="preserve"> HYPERLINK \l _Toc19097 </w:instrText>
      </w:r>
      <w:r>
        <w:fldChar w:fldCharType="separate"/>
      </w:r>
      <w:r>
        <w:rPr>
          <w:rFonts w:hint="eastAsia" w:ascii="黑体" w:eastAsia="黑体"/>
          <w:i w:val="0"/>
        </w:rPr>
        <w:t xml:space="preserve">7.3.13 </w:t>
      </w:r>
      <w:r>
        <w:rPr>
          <w:rFonts w:hint="eastAsia"/>
        </w:rPr>
        <w:t>移动跟踪误差测量</w:t>
      </w:r>
      <w:r>
        <w:tab/>
      </w:r>
      <w:r>
        <w:fldChar w:fldCharType="begin"/>
      </w:r>
      <w:r>
        <w:instrText xml:space="preserve"> PAGEREF _Toc19097 \h </w:instrText>
      </w:r>
      <w:r>
        <w:fldChar w:fldCharType="separate"/>
      </w:r>
      <w:r>
        <w:t>11</w:t>
      </w:r>
      <w:r>
        <w:fldChar w:fldCharType="end"/>
      </w:r>
      <w:r>
        <w:fldChar w:fldCharType="end"/>
      </w:r>
    </w:p>
    <w:p w14:paraId="23A2227B">
      <w:pPr>
        <w:pStyle w:val="16"/>
        <w:tabs>
          <w:tab w:val="right" w:leader="dot" w:pos="9354"/>
        </w:tabs>
      </w:pPr>
      <w:r>
        <w:fldChar w:fldCharType="begin"/>
      </w:r>
      <w:r>
        <w:instrText xml:space="preserve"> HYPERLINK \l _Toc30112 </w:instrText>
      </w:r>
      <w:r>
        <w:fldChar w:fldCharType="separate"/>
      </w:r>
      <w:r>
        <w:rPr>
          <w:rFonts w:hint="eastAsia" w:ascii="黑体" w:eastAsia="黑体"/>
          <w:i w:val="0"/>
          <w:szCs w:val="21"/>
        </w:rPr>
        <w:t xml:space="preserve">7.3.14 </w:t>
      </w:r>
      <w:r>
        <w:rPr>
          <w:rFonts w:hint="eastAsia"/>
        </w:rPr>
        <w:t>转动跟踪误差测量</w:t>
      </w:r>
      <w:r>
        <w:tab/>
      </w:r>
      <w:r>
        <w:fldChar w:fldCharType="begin"/>
      </w:r>
      <w:r>
        <w:instrText xml:space="preserve"> PAGEREF _Toc30112 \h </w:instrText>
      </w:r>
      <w:r>
        <w:fldChar w:fldCharType="separate"/>
      </w:r>
      <w:r>
        <w:t>12</w:t>
      </w:r>
      <w:r>
        <w:fldChar w:fldCharType="end"/>
      </w:r>
      <w:r>
        <w:fldChar w:fldCharType="end"/>
      </w:r>
    </w:p>
    <w:p w14:paraId="308E704D">
      <w:pPr>
        <w:pStyle w:val="16"/>
        <w:tabs>
          <w:tab w:val="right" w:leader="dot" w:pos="9354"/>
        </w:tabs>
      </w:pPr>
      <w:r>
        <w:fldChar w:fldCharType="begin"/>
      </w:r>
      <w:r>
        <w:instrText xml:space="preserve"> HYPERLINK \l _Toc17305 </w:instrText>
      </w:r>
      <w:r>
        <w:fldChar w:fldCharType="separate"/>
      </w:r>
      <w:r>
        <w:rPr>
          <w:rFonts w:hint="eastAsia" w:ascii="黑体" w:eastAsia="黑体"/>
          <w:i w:val="0"/>
          <w:szCs w:val="21"/>
        </w:rPr>
        <w:t xml:space="preserve">7.3.15 </w:t>
      </w:r>
      <w:r>
        <w:rPr>
          <w:rFonts w:hint="eastAsia"/>
        </w:rPr>
        <w:t>移动灵敏度测量</w:t>
      </w:r>
      <w:r>
        <w:tab/>
      </w:r>
      <w:r>
        <w:fldChar w:fldCharType="begin"/>
      </w:r>
      <w:r>
        <w:instrText xml:space="preserve"> PAGEREF _Toc17305 \h </w:instrText>
      </w:r>
      <w:r>
        <w:fldChar w:fldCharType="separate"/>
      </w:r>
      <w:r>
        <w:t>12</w:t>
      </w:r>
      <w:r>
        <w:fldChar w:fldCharType="end"/>
      </w:r>
      <w:r>
        <w:fldChar w:fldCharType="end"/>
      </w:r>
    </w:p>
    <w:p w14:paraId="0DABB5A7">
      <w:pPr>
        <w:pStyle w:val="16"/>
        <w:tabs>
          <w:tab w:val="right" w:leader="dot" w:pos="9354"/>
        </w:tabs>
      </w:pPr>
      <w:r>
        <w:fldChar w:fldCharType="begin"/>
      </w:r>
      <w:r>
        <w:instrText xml:space="preserve"> HYPERLINK \l _Toc32754 </w:instrText>
      </w:r>
      <w:r>
        <w:fldChar w:fldCharType="separate"/>
      </w:r>
      <w:r>
        <w:rPr>
          <w:rFonts w:hint="eastAsia" w:ascii="黑体" w:eastAsia="黑体"/>
          <w:i w:val="0"/>
        </w:rPr>
        <w:t xml:space="preserve">7.3.16 </w:t>
      </w:r>
      <w:r>
        <w:rPr>
          <w:rFonts w:hint="eastAsia"/>
        </w:rPr>
        <w:t>转动灵敏度测量</w:t>
      </w:r>
      <w:r>
        <w:tab/>
      </w:r>
      <w:r>
        <w:fldChar w:fldCharType="begin"/>
      </w:r>
      <w:r>
        <w:instrText xml:space="preserve"> PAGEREF _Toc32754 \h </w:instrText>
      </w:r>
      <w:r>
        <w:fldChar w:fldCharType="separate"/>
      </w:r>
      <w:r>
        <w:t>13</w:t>
      </w:r>
      <w:r>
        <w:fldChar w:fldCharType="end"/>
      </w:r>
      <w:r>
        <w:fldChar w:fldCharType="end"/>
      </w:r>
    </w:p>
    <w:p w14:paraId="06A1549D">
      <w:pPr>
        <w:pStyle w:val="16"/>
        <w:tabs>
          <w:tab w:val="right" w:leader="dot" w:pos="9354"/>
        </w:tabs>
      </w:pPr>
      <w:r>
        <w:fldChar w:fldCharType="begin"/>
      </w:r>
      <w:r>
        <w:instrText xml:space="preserve"> HYPERLINK \l _Toc24007 </w:instrText>
      </w:r>
      <w:r>
        <w:fldChar w:fldCharType="separate"/>
      </w:r>
      <w:r>
        <w:rPr>
          <w:rFonts w:hint="eastAsia" w:ascii="黑体" w:hAnsi="黑体" w:eastAsia="黑体"/>
          <w:i w:val="0"/>
        </w:rPr>
        <w:t xml:space="preserve">7.3.17 </w:t>
      </w:r>
      <w:r>
        <w:rPr>
          <w:rFonts w:hint="eastAsia" w:hAnsi="黑体"/>
        </w:rPr>
        <w:t>头戴部分质量测量</w:t>
      </w:r>
      <w:r>
        <w:tab/>
      </w:r>
      <w:r>
        <w:fldChar w:fldCharType="begin"/>
      </w:r>
      <w:r>
        <w:instrText xml:space="preserve"> PAGEREF _Toc24007 \h </w:instrText>
      </w:r>
      <w:r>
        <w:fldChar w:fldCharType="separate"/>
      </w:r>
      <w:r>
        <w:t>13</w:t>
      </w:r>
      <w:r>
        <w:fldChar w:fldCharType="end"/>
      </w:r>
      <w:r>
        <w:fldChar w:fldCharType="end"/>
      </w:r>
    </w:p>
    <w:p w14:paraId="0358619E">
      <w:pPr>
        <w:pStyle w:val="16"/>
        <w:tabs>
          <w:tab w:val="right" w:leader="dot" w:pos="9354"/>
        </w:tabs>
      </w:pPr>
      <w:r>
        <w:fldChar w:fldCharType="begin"/>
      </w:r>
      <w:r>
        <w:instrText xml:space="preserve"> HYPERLINK \l _Toc15004 </w:instrText>
      </w:r>
      <w:r>
        <w:fldChar w:fldCharType="separate"/>
      </w:r>
      <w:r>
        <w:rPr>
          <w:rFonts w:hint="eastAsia" w:ascii="黑体" w:hAnsi="黑体" w:eastAsia="黑体"/>
          <w:i w:val="0"/>
        </w:rPr>
        <w:t xml:space="preserve">7.3.18 </w:t>
      </w:r>
      <w:r>
        <w:rPr>
          <w:rFonts w:hint="eastAsia" w:hAnsi="黑体"/>
        </w:rPr>
        <w:t>数据传输接口测量</w:t>
      </w:r>
      <w:r>
        <w:tab/>
      </w:r>
      <w:r>
        <w:fldChar w:fldCharType="begin"/>
      </w:r>
      <w:r>
        <w:instrText xml:space="preserve"> PAGEREF _Toc15004 \h </w:instrText>
      </w:r>
      <w:r>
        <w:fldChar w:fldCharType="separate"/>
      </w:r>
      <w:r>
        <w:t>13</w:t>
      </w:r>
      <w:r>
        <w:fldChar w:fldCharType="end"/>
      </w:r>
      <w:r>
        <w:fldChar w:fldCharType="end"/>
      </w:r>
    </w:p>
    <w:p w14:paraId="79A5E5D2">
      <w:pPr>
        <w:pStyle w:val="16"/>
        <w:tabs>
          <w:tab w:val="right" w:leader="dot" w:pos="9354"/>
        </w:tabs>
      </w:pPr>
      <w:r>
        <w:fldChar w:fldCharType="begin"/>
      </w:r>
      <w:r>
        <w:instrText xml:space="preserve"> HYPERLINK \l _Toc29778 </w:instrText>
      </w:r>
      <w:r>
        <w:fldChar w:fldCharType="separate"/>
      </w:r>
      <w:r>
        <w:rPr>
          <w:rFonts w:hint="eastAsia" w:ascii="黑体" w:hAnsi="黑体" w:eastAsia="黑体"/>
          <w:i w:val="0"/>
        </w:rPr>
        <w:t xml:space="preserve">7.3.19 </w:t>
      </w:r>
      <w:r>
        <w:rPr>
          <w:rFonts w:hint="eastAsia" w:hAnsi="黑体"/>
        </w:rPr>
        <w:t>网络接口测量</w:t>
      </w:r>
      <w:r>
        <w:tab/>
      </w:r>
      <w:r>
        <w:fldChar w:fldCharType="begin"/>
      </w:r>
      <w:r>
        <w:instrText xml:space="preserve"> PAGEREF _Toc29778 \h </w:instrText>
      </w:r>
      <w:r>
        <w:fldChar w:fldCharType="separate"/>
      </w:r>
      <w:r>
        <w:t>13</w:t>
      </w:r>
      <w:r>
        <w:fldChar w:fldCharType="end"/>
      </w:r>
      <w:r>
        <w:fldChar w:fldCharType="end"/>
      </w:r>
    </w:p>
    <w:p w14:paraId="555EF866">
      <w:pPr>
        <w:pStyle w:val="16"/>
        <w:tabs>
          <w:tab w:val="right" w:leader="dot" w:pos="9354"/>
        </w:tabs>
      </w:pPr>
      <w:r>
        <w:fldChar w:fldCharType="begin"/>
      </w:r>
      <w:r>
        <w:instrText xml:space="preserve"> HYPERLINK \l _Toc31995 </w:instrText>
      </w:r>
      <w:r>
        <w:fldChar w:fldCharType="separate"/>
      </w:r>
      <w:r>
        <w:rPr>
          <w:rFonts w:hint="eastAsia" w:ascii="黑体" w:hAnsi="黑体" w:eastAsia="黑体"/>
          <w:i w:val="0"/>
        </w:rPr>
        <w:t xml:space="preserve">7.3.20 </w:t>
      </w:r>
      <w:r>
        <w:rPr>
          <w:rFonts w:hint="eastAsia" w:hAnsi="黑体"/>
        </w:rPr>
        <w:t>电源接口测量</w:t>
      </w:r>
      <w:r>
        <w:tab/>
      </w:r>
      <w:r>
        <w:fldChar w:fldCharType="begin"/>
      </w:r>
      <w:r>
        <w:instrText xml:space="preserve"> PAGEREF _Toc31995 \h </w:instrText>
      </w:r>
      <w:r>
        <w:fldChar w:fldCharType="separate"/>
      </w:r>
      <w:r>
        <w:t>13</w:t>
      </w:r>
      <w:r>
        <w:fldChar w:fldCharType="end"/>
      </w:r>
      <w:r>
        <w:fldChar w:fldCharType="end"/>
      </w:r>
    </w:p>
    <w:p w14:paraId="07C58A62">
      <w:pPr>
        <w:pStyle w:val="16"/>
        <w:tabs>
          <w:tab w:val="right" w:leader="dot" w:pos="9354"/>
        </w:tabs>
      </w:pPr>
      <w:r>
        <w:fldChar w:fldCharType="begin"/>
      </w:r>
      <w:r>
        <w:instrText xml:space="preserve"> HYPERLINK \l _Toc3663 </w:instrText>
      </w:r>
      <w:r>
        <w:fldChar w:fldCharType="separate"/>
      </w:r>
      <w:r>
        <w:rPr>
          <w:rFonts w:hint="eastAsia" w:ascii="黑体" w:hAnsi="黑体" w:eastAsia="黑体"/>
          <w:i w:val="0"/>
        </w:rPr>
        <w:t xml:space="preserve">7.3.21 </w:t>
      </w:r>
      <w:r>
        <w:rPr>
          <w:rFonts w:hint="eastAsia" w:hAnsi="黑体"/>
        </w:rPr>
        <w:t>外部视频输入接口测量</w:t>
      </w:r>
      <w:r>
        <w:tab/>
      </w:r>
      <w:r>
        <w:fldChar w:fldCharType="begin"/>
      </w:r>
      <w:r>
        <w:instrText xml:space="preserve"> PAGEREF _Toc3663 \h </w:instrText>
      </w:r>
      <w:r>
        <w:fldChar w:fldCharType="separate"/>
      </w:r>
      <w:r>
        <w:t>13</w:t>
      </w:r>
      <w:r>
        <w:fldChar w:fldCharType="end"/>
      </w:r>
      <w:r>
        <w:fldChar w:fldCharType="end"/>
      </w:r>
    </w:p>
    <w:p w14:paraId="0FFD32A6">
      <w:pPr>
        <w:pStyle w:val="16"/>
        <w:tabs>
          <w:tab w:val="right" w:leader="dot" w:pos="9354"/>
        </w:tabs>
      </w:pPr>
      <w:r>
        <w:fldChar w:fldCharType="begin"/>
      </w:r>
      <w:r>
        <w:instrText xml:space="preserve"> HYPERLINK \l _Toc12890 </w:instrText>
      </w:r>
      <w:r>
        <w:fldChar w:fldCharType="separate"/>
      </w:r>
      <w:r>
        <w:rPr>
          <w:rFonts w:hint="eastAsia" w:ascii="黑体" w:eastAsia="黑体"/>
          <w:i w:val="0"/>
        </w:rPr>
        <w:t xml:space="preserve">7.3.22 </w:t>
      </w:r>
      <w:r>
        <w:rPr>
          <w:rFonts w:hint="eastAsia"/>
        </w:rPr>
        <w:t>外部音频输出接口测量</w:t>
      </w:r>
      <w:r>
        <w:tab/>
      </w:r>
      <w:r>
        <w:fldChar w:fldCharType="begin"/>
      </w:r>
      <w:r>
        <w:instrText xml:space="preserve"> PAGEREF _Toc12890 \h </w:instrText>
      </w:r>
      <w:r>
        <w:fldChar w:fldCharType="separate"/>
      </w:r>
      <w:r>
        <w:t>14</w:t>
      </w:r>
      <w:r>
        <w:fldChar w:fldCharType="end"/>
      </w:r>
      <w:r>
        <w:fldChar w:fldCharType="end"/>
      </w:r>
    </w:p>
    <w:p w14:paraId="7DF6CE14">
      <w:pPr>
        <w:pStyle w:val="16"/>
        <w:tabs>
          <w:tab w:val="right" w:leader="dot" w:pos="9354"/>
        </w:tabs>
      </w:pPr>
      <w:r>
        <w:fldChar w:fldCharType="begin"/>
      </w:r>
      <w:r>
        <w:instrText xml:space="preserve"> HYPERLINK \l _Toc28756 </w:instrText>
      </w:r>
      <w:r>
        <w:fldChar w:fldCharType="separate"/>
      </w:r>
      <w:r>
        <w:rPr>
          <w:rFonts w:hint="eastAsia" w:ascii="黑体" w:eastAsia="黑体"/>
          <w:i w:val="0"/>
        </w:rPr>
        <w:t xml:space="preserve">7.3.23 </w:t>
      </w:r>
      <w:r>
        <w:rPr>
          <w:rFonts w:hint="eastAsia"/>
        </w:rPr>
        <w:t>数字水印功能测量</w:t>
      </w:r>
      <w:r>
        <w:tab/>
      </w:r>
      <w:r>
        <w:fldChar w:fldCharType="begin"/>
      </w:r>
      <w:r>
        <w:instrText xml:space="preserve"> PAGEREF _Toc28756 \h </w:instrText>
      </w:r>
      <w:r>
        <w:fldChar w:fldCharType="separate"/>
      </w:r>
      <w:r>
        <w:t>14</w:t>
      </w:r>
      <w:r>
        <w:fldChar w:fldCharType="end"/>
      </w:r>
      <w:r>
        <w:fldChar w:fldCharType="end"/>
      </w:r>
    </w:p>
    <w:p w14:paraId="60F3E5F9">
      <w:pPr>
        <w:pStyle w:val="16"/>
        <w:tabs>
          <w:tab w:val="right" w:leader="dot" w:pos="9354"/>
        </w:tabs>
      </w:pPr>
      <w:r>
        <w:fldChar w:fldCharType="begin"/>
      </w:r>
      <w:r>
        <w:instrText xml:space="preserve"> HYPERLINK \l _Toc24963 </w:instrText>
      </w:r>
      <w:r>
        <w:fldChar w:fldCharType="separate"/>
      </w:r>
      <w:r>
        <w:rPr>
          <w:rFonts w:hint="eastAsia" w:ascii="黑体" w:eastAsia="黑体"/>
          <w:i w:val="0"/>
        </w:rPr>
        <w:t xml:space="preserve">7.3.24 </w:t>
      </w:r>
      <w:r>
        <w:rPr>
          <w:rFonts w:hint="eastAsia"/>
        </w:rPr>
        <w:t>图像数据安全</w:t>
      </w:r>
      <w:r>
        <w:tab/>
      </w:r>
      <w:r>
        <w:fldChar w:fldCharType="begin"/>
      </w:r>
      <w:r>
        <w:instrText xml:space="preserve"> PAGEREF _Toc24963 \h </w:instrText>
      </w:r>
      <w:r>
        <w:fldChar w:fldCharType="separate"/>
      </w:r>
      <w:r>
        <w:t>14</w:t>
      </w:r>
      <w:r>
        <w:fldChar w:fldCharType="end"/>
      </w:r>
      <w:r>
        <w:fldChar w:fldCharType="end"/>
      </w:r>
    </w:p>
    <w:p w14:paraId="7D17F80B">
      <w:pPr>
        <w:pStyle w:val="16"/>
        <w:tabs>
          <w:tab w:val="right" w:leader="dot" w:pos="9354"/>
        </w:tabs>
      </w:pPr>
      <w:r>
        <w:fldChar w:fldCharType="begin"/>
      </w:r>
      <w:r>
        <w:instrText xml:space="preserve"> HYPERLINK \l _Toc20558 </w:instrText>
      </w:r>
      <w:r>
        <w:fldChar w:fldCharType="separate"/>
      </w:r>
      <w:r>
        <w:rPr>
          <w:rFonts w:hint="eastAsia" w:ascii="黑体" w:eastAsia="黑体"/>
          <w:i w:val="0"/>
        </w:rPr>
        <w:t xml:space="preserve">7.3.25 </w:t>
      </w:r>
      <w:r>
        <w:rPr>
          <w:rFonts w:hint="eastAsia"/>
        </w:rPr>
        <w:t>头戴部分尺寸</w:t>
      </w:r>
      <w:r>
        <w:rPr>
          <w:rFonts w:hint="eastAsia" w:hAnsi="黑体"/>
        </w:rPr>
        <w:t>测量</w:t>
      </w:r>
      <w:r>
        <w:tab/>
      </w:r>
      <w:r>
        <w:fldChar w:fldCharType="begin"/>
      </w:r>
      <w:r>
        <w:instrText xml:space="preserve"> PAGEREF _Toc20558 \h </w:instrText>
      </w:r>
      <w:r>
        <w:fldChar w:fldCharType="separate"/>
      </w:r>
      <w:r>
        <w:t>14</w:t>
      </w:r>
      <w:r>
        <w:fldChar w:fldCharType="end"/>
      </w:r>
      <w:r>
        <w:fldChar w:fldCharType="end"/>
      </w:r>
    </w:p>
    <w:p w14:paraId="415C9E5C">
      <w:pPr>
        <w:pStyle w:val="16"/>
        <w:tabs>
          <w:tab w:val="right" w:leader="dot" w:pos="9354"/>
        </w:tabs>
      </w:pPr>
      <w:r>
        <w:fldChar w:fldCharType="begin"/>
      </w:r>
      <w:r>
        <w:instrText xml:space="preserve"> HYPERLINK \l _Toc12757 </w:instrText>
      </w:r>
      <w:r>
        <w:fldChar w:fldCharType="separate"/>
      </w:r>
      <w:r>
        <w:rPr>
          <w:rFonts w:hint="eastAsia" w:ascii="黑体" w:eastAsia="黑体"/>
          <w:i w:val="0"/>
        </w:rPr>
        <w:t xml:space="preserve">7.3.26 </w:t>
      </w:r>
      <w:r>
        <w:rPr>
          <w:rFonts w:hint="eastAsia"/>
        </w:rPr>
        <w:t>菜单功能测量</w:t>
      </w:r>
      <w:r>
        <w:tab/>
      </w:r>
      <w:r>
        <w:fldChar w:fldCharType="begin"/>
      </w:r>
      <w:r>
        <w:instrText xml:space="preserve"> PAGEREF _Toc12757 \h </w:instrText>
      </w:r>
      <w:r>
        <w:fldChar w:fldCharType="separate"/>
      </w:r>
      <w:r>
        <w:t>14</w:t>
      </w:r>
      <w:r>
        <w:fldChar w:fldCharType="end"/>
      </w:r>
      <w:r>
        <w:fldChar w:fldCharType="end"/>
      </w:r>
    </w:p>
    <w:p w14:paraId="61D4F66A">
      <w:pPr>
        <w:pStyle w:val="16"/>
        <w:tabs>
          <w:tab w:val="right" w:leader="dot" w:pos="9354"/>
        </w:tabs>
      </w:pPr>
      <w:r>
        <w:fldChar w:fldCharType="begin"/>
      </w:r>
      <w:r>
        <w:instrText xml:space="preserve"> HYPERLINK \l _Toc25787 </w:instrText>
      </w:r>
      <w:r>
        <w:fldChar w:fldCharType="separate"/>
      </w:r>
      <w:r>
        <w:rPr>
          <w:rFonts w:hint="eastAsia" w:ascii="黑体" w:hAnsi="黑体" w:eastAsia="黑体"/>
          <w:i w:val="0"/>
        </w:rPr>
        <w:t xml:space="preserve">7.3.27 </w:t>
      </w:r>
      <w:r>
        <w:rPr>
          <w:rFonts w:hint="eastAsia" w:hAnsi="黑体"/>
        </w:rPr>
        <w:t>持续播放时间测量</w:t>
      </w:r>
      <w:r>
        <w:tab/>
      </w:r>
      <w:r>
        <w:fldChar w:fldCharType="begin"/>
      </w:r>
      <w:r>
        <w:instrText xml:space="preserve"> PAGEREF _Toc25787 \h </w:instrText>
      </w:r>
      <w:r>
        <w:fldChar w:fldCharType="separate"/>
      </w:r>
      <w:r>
        <w:t>15</w:t>
      </w:r>
      <w:r>
        <w:fldChar w:fldCharType="end"/>
      </w:r>
      <w:r>
        <w:fldChar w:fldCharType="end"/>
      </w:r>
    </w:p>
    <w:p w14:paraId="67DE1E6F">
      <w:pPr>
        <w:pStyle w:val="16"/>
        <w:tabs>
          <w:tab w:val="right" w:leader="dot" w:pos="9354"/>
        </w:tabs>
      </w:pPr>
      <w:r>
        <w:fldChar w:fldCharType="begin"/>
      </w:r>
      <w:r>
        <w:instrText xml:space="preserve"> HYPERLINK \l _Toc25093 </w:instrText>
      </w:r>
      <w:r>
        <w:fldChar w:fldCharType="separate"/>
      </w:r>
      <w:r>
        <w:rPr>
          <w:rFonts w:hint="eastAsia" w:ascii="黑体" w:eastAsia="黑体"/>
          <w:i w:val="0"/>
        </w:rPr>
        <w:t xml:space="preserve">7.3.28 </w:t>
      </w:r>
      <w:r>
        <w:rPr>
          <w:rFonts w:hint="eastAsia"/>
        </w:rPr>
        <w:t>外观和结构</w:t>
      </w:r>
      <w:r>
        <w:rPr>
          <w:rFonts w:hint="eastAsia" w:hAnsi="黑体"/>
        </w:rPr>
        <w:t>测量</w:t>
      </w:r>
      <w:r>
        <w:tab/>
      </w:r>
      <w:r>
        <w:fldChar w:fldCharType="begin"/>
      </w:r>
      <w:r>
        <w:instrText xml:space="preserve"> PAGEREF _Toc25093 \h </w:instrText>
      </w:r>
      <w:r>
        <w:fldChar w:fldCharType="separate"/>
      </w:r>
      <w:r>
        <w:t>15</w:t>
      </w:r>
      <w:r>
        <w:fldChar w:fldCharType="end"/>
      </w:r>
      <w:r>
        <w:fldChar w:fldCharType="end"/>
      </w:r>
    </w:p>
    <w:p w14:paraId="14622EAC">
      <w:pPr>
        <w:pStyle w:val="16"/>
        <w:tabs>
          <w:tab w:val="right" w:leader="dot" w:pos="9354"/>
        </w:tabs>
      </w:pPr>
      <w:r>
        <w:fldChar w:fldCharType="begin"/>
      </w:r>
      <w:r>
        <w:instrText xml:space="preserve"> HYPERLINK \l _Toc4838 </w:instrText>
      </w:r>
      <w:r>
        <w:fldChar w:fldCharType="separate"/>
      </w:r>
      <w:r>
        <w:rPr>
          <w:rFonts w:hint="eastAsia" w:ascii="黑体" w:eastAsia="黑体"/>
          <w:i w:val="0"/>
        </w:rPr>
        <w:t xml:space="preserve">7.3.29 </w:t>
      </w:r>
      <w:r>
        <w:rPr>
          <w:rFonts w:hint="eastAsia"/>
        </w:rPr>
        <w:t>电源适应能力</w:t>
      </w:r>
      <w:r>
        <w:rPr>
          <w:rFonts w:hint="eastAsia" w:hAnsi="黑体"/>
        </w:rPr>
        <w:t>测量</w:t>
      </w:r>
      <w:r>
        <w:tab/>
      </w:r>
      <w:r>
        <w:fldChar w:fldCharType="begin"/>
      </w:r>
      <w:r>
        <w:instrText xml:space="preserve"> PAGEREF _Toc4838 \h </w:instrText>
      </w:r>
      <w:r>
        <w:fldChar w:fldCharType="separate"/>
      </w:r>
      <w:r>
        <w:t>15</w:t>
      </w:r>
      <w:r>
        <w:fldChar w:fldCharType="end"/>
      </w:r>
      <w:r>
        <w:fldChar w:fldCharType="end"/>
      </w:r>
    </w:p>
    <w:p w14:paraId="6B146F72">
      <w:pPr>
        <w:pStyle w:val="16"/>
        <w:tabs>
          <w:tab w:val="right" w:leader="dot" w:pos="9354"/>
        </w:tabs>
      </w:pPr>
      <w:r>
        <w:fldChar w:fldCharType="begin"/>
      </w:r>
      <w:r>
        <w:instrText xml:space="preserve"> HYPERLINK \l _Toc1527 </w:instrText>
      </w:r>
      <w:r>
        <w:fldChar w:fldCharType="separate"/>
      </w:r>
      <w:r>
        <w:rPr>
          <w:rFonts w:hint="eastAsia" w:ascii="黑体" w:eastAsia="黑体"/>
          <w:i w:val="0"/>
        </w:rPr>
        <w:t xml:space="preserve">7.3.30 </w:t>
      </w:r>
      <w:r>
        <w:rPr>
          <w:rFonts w:hint="eastAsia"/>
        </w:rPr>
        <w:t>温度适应能力测量</w:t>
      </w:r>
      <w:r>
        <w:tab/>
      </w:r>
      <w:r>
        <w:fldChar w:fldCharType="begin"/>
      </w:r>
      <w:r>
        <w:instrText xml:space="preserve"> PAGEREF _Toc1527 \h </w:instrText>
      </w:r>
      <w:r>
        <w:fldChar w:fldCharType="separate"/>
      </w:r>
      <w:r>
        <w:t>15</w:t>
      </w:r>
      <w:r>
        <w:fldChar w:fldCharType="end"/>
      </w:r>
      <w:r>
        <w:fldChar w:fldCharType="end"/>
      </w:r>
    </w:p>
    <w:p w14:paraId="1EE8BD69">
      <w:pPr>
        <w:pStyle w:val="21"/>
        <w:tabs>
          <w:tab w:val="right" w:leader="dot" w:pos="9354"/>
        </w:tabs>
      </w:pPr>
      <w:r>
        <w:fldChar w:fldCharType="begin"/>
      </w:r>
      <w:r>
        <w:instrText xml:space="preserve"> HYPERLINK \l _Toc23516 </w:instrText>
      </w:r>
      <w:r>
        <w:fldChar w:fldCharType="separate"/>
      </w:r>
      <w:r>
        <w:rPr>
          <w:rFonts w:hint="eastAsia"/>
          <w:spacing w:val="105"/>
        </w:rPr>
        <w:t>参考文</w:t>
      </w:r>
      <w:r>
        <w:rPr>
          <w:rFonts w:hint="eastAsia"/>
        </w:rPr>
        <w:t>献</w:t>
      </w:r>
      <w:r>
        <w:tab/>
      </w:r>
      <w:r>
        <w:fldChar w:fldCharType="begin"/>
      </w:r>
      <w:r>
        <w:instrText xml:space="preserve"> PAGEREF _Toc23516 \h </w:instrText>
      </w:r>
      <w:r>
        <w:fldChar w:fldCharType="separate"/>
      </w:r>
      <w:r>
        <w:t>16</w:t>
      </w:r>
      <w:r>
        <w:fldChar w:fldCharType="end"/>
      </w:r>
      <w:r>
        <w:fldChar w:fldCharType="end"/>
      </w:r>
    </w:p>
    <w:p w14:paraId="6BF5B4E2">
      <w:pPr>
        <w:pStyle w:val="97"/>
        <w:spacing w:after="36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13"/>
    <w:p w14:paraId="4C29278E">
      <w:pPr>
        <w:pStyle w:val="95"/>
        <w:spacing w:before="900" w:after="360"/>
      </w:pPr>
      <w:bookmarkStart w:id="14" w:name="_Toc31878"/>
      <w:bookmarkStart w:id="15" w:name="BookMark2"/>
      <w:r>
        <w:rPr>
          <w:rFonts w:hint="eastAsia"/>
          <w:spacing w:val="320"/>
        </w:rPr>
        <w:t>前</w:t>
      </w:r>
      <w:r>
        <w:rPr>
          <w:rFonts w:hint="eastAsia"/>
        </w:rPr>
        <w:t>言</w:t>
      </w:r>
      <w:bookmarkEnd w:id="14"/>
    </w:p>
    <w:p w14:paraId="61DF4A53">
      <w:pPr>
        <w:pStyle w:val="62"/>
        <w:ind w:firstLine="420"/>
      </w:pPr>
      <w:r>
        <w:rPr>
          <w:rFonts w:hint="eastAsia"/>
        </w:rPr>
        <w:t>本文件为规范类行业标准化指导性技术文件。</w:t>
      </w:r>
    </w:p>
    <w:p w14:paraId="4E3346E4">
      <w:pPr>
        <w:pStyle w:val="62"/>
        <w:ind w:firstLine="420"/>
      </w:pPr>
      <w:r>
        <w:rPr>
          <w:rFonts w:hint="eastAsia"/>
        </w:rPr>
        <w:t>本文件按照GB/T 1.1—2020《标准化工作导则  第1部分：标准化文件的结构和起草规则》的规定起草。</w:t>
      </w:r>
    </w:p>
    <w:p w14:paraId="20337285">
      <w:pPr>
        <w:pStyle w:val="62"/>
        <w:ind w:firstLine="420"/>
      </w:pPr>
      <w:r>
        <w:rPr>
          <w:rFonts w:hint="eastAsia"/>
        </w:rPr>
        <w:t>请注意本文件的某些内容可能涉及专利。本文件的发布机构不承担识别专利的责任。</w:t>
      </w:r>
    </w:p>
    <w:p w14:paraId="70BD1C0D">
      <w:pPr>
        <w:pStyle w:val="62"/>
        <w:ind w:firstLine="420"/>
      </w:pPr>
      <w:r>
        <w:t>本文件</w:t>
      </w:r>
      <w:r>
        <w:rPr>
          <w:rFonts w:hint="eastAsia"/>
        </w:rPr>
        <w:t>是D</w:t>
      </w:r>
      <w:r>
        <w:t>Y/Z</w:t>
      </w:r>
      <w:r>
        <w:rPr>
          <w:rFonts w:hint="eastAsia"/>
        </w:rPr>
        <w:t xml:space="preserve"> XX</w:t>
      </w:r>
      <w:r>
        <w:t>《虚拟现实电影》的第1部分。</w:t>
      </w:r>
      <w:r>
        <w:rPr>
          <w:rFonts w:hint="eastAsia"/>
        </w:rPr>
        <w:t>D</w:t>
      </w:r>
      <w:r>
        <w:t>Y/Z</w:t>
      </w:r>
      <w:r>
        <w:rPr>
          <w:rFonts w:hint="eastAsia"/>
        </w:rPr>
        <w:t xml:space="preserve"> XX已经发布了以下部分：</w:t>
      </w:r>
    </w:p>
    <w:p w14:paraId="21EA005B">
      <w:pPr>
        <w:pStyle w:val="138"/>
        <w:numPr>
          <w:ilvl w:val="255"/>
          <w:numId w:val="0"/>
        </w:numPr>
        <w:ind w:left="425"/>
      </w:pPr>
      <w:r>
        <w:rPr>
          <w:rFonts w:hint="eastAsia"/>
        </w:rPr>
        <w:t>——第1部分：通用技术规范；</w:t>
      </w:r>
    </w:p>
    <w:p w14:paraId="291C709C">
      <w:pPr>
        <w:pStyle w:val="138"/>
        <w:numPr>
          <w:ilvl w:val="255"/>
          <w:numId w:val="0"/>
        </w:numPr>
        <w:ind w:left="425"/>
      </w:pPr>
      <w:r>
        <w:rPr>
          <w:rFonts w:hint="eastAsia"/>
        </w:rPr>
        <w:t>——第3部分：头戴式显示设备技术要求和测量方法。</w:t>
      </w:r>
    </w:p>
    <w:p w14:paraId="4318EA70">
      <w:pPr>
        <w:pStyle w:val="62"/>
        <w:ind w:firstLine="420"/>
      </w:pPr>
      <w:r>
        <w:rPr>
          <w:rFonts w:hint="eastAsia"/>
        </w:rPr>
        <w:t>本文件由国家电影局提出。</w:t>
      </w:r>
    </w:p>
    <w:p w14:paraId="2DE69564">
      <w:pPr>
        <w:pStyle w:val="62"/>
        <w:ind w:firstLine="420"/>
      </w:pPr>
      <w:r>
        <w:rPr>
          <w:rFonts w:hint="eastAsia"/>
        </w:rPr>
        <w:t>本文件由全国电影标准化技术委员会（SAC/TC 604）归口。</w:t>
      </w:r>
    </w:p>
    <w:p w14:paraId="01FDFAD8">
      <w:pPr>
        <w:pStyle w:val="62"/>
        <w:ind w:firstLine="420"/>
      </w:pPr>
      <w:r>
        <w:rPr>
          <w:rFonts w:hint="eastAsia"/>
        </w:rPr>
        <w:t>本文件起草单位：中国电影科学技术研究所（中央宣传部电影技术质量检测所）、西部电影集团有限公司、爱威尔星空（北京）技术有限公司、陕西西影无界科技有限公司、定军山投资控股（深圳）有限公司。</w:t>
      </w:r>
    </w:p>
    <w:p w14:paraId="078CD7F6">
      <w:pPr>
        <w:pStyle w:val="62"/>
        <w:ind w:firstLine="420"/>
      </w:pPr>
      <w:r>
        <w:rPr>
          <w:rFonts w:hint="eastAsia"/>
        </w:rPr>
        <w:t>本文件主要起草人：李虹珊、董强国、高峰</w:t>
      </w:r>
      <w:r>
        <w:rPr>
          <w:rFonts w:hint="eastAsia"/>
          <w:vertAlign w:val="subscript"/>
        </w:rPr>
        <w:t>1983年</w:t>
      </w:r>
      <w:r>
        <w:rPr>
          <w:rFonts w:hint="eastAsia"/>
        </w:rPr>
        <w:t>、张辉、李娜、王萃、王薇娜、王文强、常婉晴、成相翼、牛宇华、徐涛、龚波、赵文涛、王季萱、项征、翁超、陈惠波。</w:t>
      </w:r>
    </w:p>
    <w:p w14:paraId="4145A148">
      <w:pPr>
        <w:pStyle w:val="62"/>
        <w:ind w:firstLine="420"/>
      </w:pPr>
    </w:p>
    <w:p w14:paraId="2749185F">
      <w:pPr>
        <w:pStyle w:val="62"/>
        <w:ind w:firstLine="420"/>
        <w:sectPr>
          <w:pgSz w:w="11906" w:h="16838"/>
          <w:pgMar w:top="1928" w:right="1134" w:bottom="1134" w:left="1134" w:header="1418" w:footer="1134" w:gutter="284"/>
          <w:pgNumType w:fmt="upperRoman"/>
          <w:cols w:space="425" w:num="1"/>
          <w:formProt w:val="0"/>
          <w:docGrid w:linePitch="312" w:charSpace="0"/>
        </w:sectPr>
      </w:pPr>
    </w:p>
    <w:bookmarkEnd w:id="15"/>
    <w:p w14:paraId="3A38BB2B">
      <w:pPr>
        <w:pStyle w:val="95"/>
        <w:spacing w:after="360"/>
      </w:pPr>
      <w:bookmarkStart w:id="16" w:name="_Toc24441"/>
      <w:bookmarkStart w:id="17" w:name="BookMark3"/>
      <w:r>
        <w:rPr>
          <w:rFonts w:hint="eastAsia"/>
          <w:spacing w:val="320"/>
        </w:rPr>
        <w:t>引</w:t>
      </w:r>
      <w:r>
        <w:rPr>
          <w:rFonts w:hint="eastAsia"/>
        </w:rPr>
        <w:t>言</w:t>
      </w:r>
      <w:bookmarkEnd w:id="16"/>
    </w:p>
    <w:p w14:paraId="2D71457A">
      <w:pPr>
        <w:pStyle w:val="62"/>
        <w:ind w:firstLine="424" w:firstLineChars="202"/>
      </w:pPr>
      <w:r>
        <w:rPr>
          <w:rFonts w:hint="eastAsia"/>
        </w:rPr>
        <w:t>随着虚拟现实技术的不断发展，虚拟现实电影逐渐发展成熟，为观众提供了更具沉浸感、交互感与临场感的体验，成为电影产业的重要组成部分。虚拟现实电影</w:t>
      </w:r>
      <w:bookmarkStart w:id="18" w:name="_Hlk203383480"/>
      <w:r>
        <w:rPr>
          <w:rFonts w:hint="eastAsia"/>
        </w:rPr>
        <w:t>与常规电影在技术、形式、流程等方面</w:t>
      </w:r>
      <w:bookmarkEnd w:id="18"/>
      <w:r>
        <w:rPr>
          <w:rFonts w:hint="eastAsia"/>
        </w:rPr>
        <w:t>均具有较大区别，急需建立虚拟现实电影相关技术标准，但虚拟现实电影技术尚在发展中，为规范、引领虚拟现实电影产业良性发展，制定本行业标准化指导性技术文件D</w:t>
      </w:r>
      <w:r>
        <w:t>Y/Z</w:t>
      </w:r>
      <w:r>
        <w:rPr>
          <w:rFonts w:hint="eastAsia"/>
        </w:rPr>
        <w:t xml:space="preserve"> XX《虚拟现实电影》。DY/Z XX旨在规范虚拟现实电影内容制作、头戴式显示设备、放映管理系统、场所、票务管理系统和内容安全等，为虚拟现实电影制作、播映、管理提供依据，拟由七部分构成：</w:t>
      </w:r>
    </w:p>
    <w:p w14:paraId="6D831F87">
      <w:pPr>
        <w:pStyle w:val="138"/>
        <w:numPr>
          <w:ilvl w:val="0"/>
          <w:numId w:val="0"/>
        </w:numPr>
        <w:ind w:left="425"/>
      </w:pPr>
      <w:r>
        <w:rPr>
          <w:rFonts w:ascii="Times New Roman"/>
          <w:szCs w:val="21"/>
        </w:rPr>
        <w:t>───</w:t>
      </w:r>
      <w:r>
        <w:rPr>
          <w:rFonts w:hint="eastAsia"/>
        </w:rPr>
        <w:t>第1部分：通用技术要求；</w:t>
      </w:r>
    </w:p>
    <w:p w14:paraId="5A5D5F73">
      <w:pPr>
        <w:pStyle w:val="138"/>
        <w:numPr>
          <w:ilvl w:val="0"/>
          <w:numId w:val="0"/>
        </w:numPr>
        <w:ind w:left="851" w:hanging="426"/>
      </w:pPr>
      <w:r>
        <w:rPr>
          <w:rFonts w:ascii="Times New Roman"/>
          <w:szCs w:val="21"/>
        </w:rPr>
        <w:t>───</w:t>
      </w:r>
      <w:r>
        <w:rPr>
          <w:rFonts w:hint="eastAsia"/>
        </w:rPr>
        <w:t>第2部分：内容制作技术要求；</w:t>
      </w:r>
    </w:p>
    <w:p w14:paraId="4B239DB6">
      <w:pPr>
        <w:pStyle w:val="138"/>
        <w:numPr>
          <w:ilvl w:val="0"/>
          <w:numId w:val="0"/>
        </w:numPr>
        <w:ind w:left="425"/>
      </w:pPr>
      <w:r>
        <w:rPr>
          <w:rFonts w:ascii="Times New Roman"/>
          <w:szCs w:val="21"/>
        </w:rPr>
        <w:t>───</w:t>
      </w:r>
      <w:r>
        <w:rPr>
          <w:rFonts w:hint="eastAsia"/>
        </w:rPr>
        <w:t>第3部分：头戴式显示设备技术要求和测量方法；</w:t>
      </w:r>
    </w:p>
    <w:p w14:paraId="30662E47">
      <w:pPr>
        <w:pStyle w:val="138"/>
        <w:numPr>
          <w:ilvl w:val="0"/>
          <w:numId w:val="0"/>
        </w:numPr>
        <w:ind w:left="425"/>
      </w:pPr>
      <w:r>
        <w:rPr>
          <w:rFonts w:ascii="Times New Roman"/>
          <w:szCs w:val="21"/>
        </w:rPr>
        <w:t>───</w:t>
      </w:r>
      <w:r>
        <w:rPr>
          <w:rFonts w:hint="eastAsia"/>
        </w:rPr>
        <w:t>第4部分：放映管理系统技术要求和测量方法；</w:t>
      </w:r>
    </w:p>
    <w:p w14:paraId="5B0A277E">
      <w:pPr>
        <w:pStyle w:val="138"/>
        <w:numPr>
          <w:ilvl w:val="0"/>
          <w:numId w:val="0"/>
        </w:numPr>
        <w:ind w:left="424" w:leftChars="200" w:hanging="4" w:hangingChars="2"/>
      </w:pPr>
      <w:r>
        <w:rPr>
          <w:rFonts w:ascii="Times New Roman"/>
          <w:szCs w:val="21"/>
        </w:rPr>
        <w:t>───</w:t>
      </w:r>
      <w:r>
        <w:rPr>
          <w:rFonts w:hint="eastAsia"/>
        </w:rPr>
        <w:t>第5部分：场所技术要求和测量方法；</w:t>
      </w:r>
    </w:p>
    <w:p w14:paraId="2F99F47A">
      <w:pPr>
        <w:pStyle w:val="138"/>
        <w:numPr>
          <w:ilvl w:val="0"/>
          <w:numId w:val="0"/>
        </w:numPr>
        <w:ind w:left="424" w:leftChars="200" w:hanging="4" w:hangingChars="2"/>
      </w:pPr>
      <w:r>
        <w:rPr>
          <w:rFonts w:ascii="Times New Roman"/>
          <w:szCs w:val="21"/>
        </w:rPr>
        <w:t>───</w:t>
      </w:r>
      <w:r>
        <w:rPr>
          <w:rFonts w:hint="eastAsia"/>
        </w:rPr>
        <w:t>第6部分：票务管理系统技术要求和测量方法；</w:t>
      </w:r>
    </w:p>
    <w:p w14:paraId="4044AEC8">
      <w:pPr>
        <w:pStyle w:val="138"/>
        <w:numPr>
          <w:ilvl w:val="0"/>
          <w:numId w:val="0"/>
        </w:numPr>
        <w:ind w:left="424" w:leftChars="200" w:hanging="4" w:hangingChars="2"/>
      </w:pPr>
      <w:r>
        <w:rPr>
          <w:rFonts w:ascii="Times New Roman"/>
          <w:szCs w:val="21"/>
        </w:rPr>
        <w:t>───</w:t>
      </w:r>
      <w:r>
        <w:rPr>
          <w:rFonts w:hint="eastAsia"/>
        </w:rPr>
        <w:t>第7部分：内容安全技术要求和测量方法。</w:t>
      </w:r>
    </w:p>
    <w:p w14:paraId="25F20CEB">
      <w:pPr>
        <w:pStyle w:val="62"/>
        <w:ind w:firstLine="424" w:firstLineChars="202"/>
      </w:pPr>
      <w:r>
        <w:rPr>
          <w:rFonts w:hint="eastAsia"/>
        </w:rPr>
        <w:t>本文件为D</w:t>
      </w:r>
      <w:r>
        <w:t>Y/Z</w:t>
      </w:r>
      <w:r>
        <w:rPr>
          <w:rFonts w:hint="eastAsia"/>
        </w:rPr>
        <w:t xml:space="preserve"> XX《虚拟现实电影》的第3部分，定义了用于播放虚拟现实电影的头戴式显示设备的技术要求和测量方法。在《虚拟现实电影 第1部分：通用技术要求》的规划框架下，其余部分分别对内容制作、放映管理系统、场所、票务管理系统和内容安全提出具体技术要求。七部分相互支撑，共同构成必要且相对完善的行业标准化指导性技术文件D</w:t>
      </w:r>
      <w:r>
        <w:t>Y/Z</w:t>
      </w:r>
      <w:r>
        <w:rPr>
          <w:rFonts w:hint="eastAsia"/>
        </w:rPr>
        <w:t xml:space="preserve"> XX《虚拟现实电影》。</w:t>
      </w:r>
    </w:p>
    <w:p w14:paraId="51E65A2D">
      <w:pPr>
        <w:pStyle w:val="62"/>
        <w:ind w:firstLine="420"/>
        <w:sectPr>
          <w:pgSz w:w="11906" w:h="16838"/>
          <w:pgMar w:top="1928" w:right="1134" w:bottom="1134" w:left="1134" w:header="1418" w:footer="1134" w:gutter="284"/>
          <w:pgNumType w:fmt="upperRoman"/>
          <w:cols w:space="425" w:num="1"/>
          <w:formProt w:val="0"/>
          <w:docGrid w:linePitch="312" w:charSpace="0"/>
        </w:sectPr>
      </w:pPr>
    </w:p>
    <w:bookmarkEnd w:id="17"/>
    <w:p w14:paraId="0D1E6324">
      <w:pPr>
        <w:spacing w:line="20" w:lineRule="exact"/>
        <w:jc w:val="center"/>
        <w:rPr>
          <w:rFonts w:hint="eastAsia" w:ascii="黑体" w:hAnsi="黑体" w:eastAsia="黑体"/>
          <w:sz w:val="32"/>
          <w:szCs w:val="32"/>
        </w:rPr>
      </w:pPr>
      <w:bookmarkStart w:id="19" w:name="BookMark4"/>
    </w:p>
    <w:p w14:paraId="61CE1A0B">
      <w:pPr>
        <w:spacing w:line="20" w:lineRule="exact"/>
        <w:jc w:val="center"/>
        <w:rPr>
          <w:rFonts w:hint="eastAsia" w:ascii="黑体" w:hAnsi="黑体" w:eastAsia="黑体"/>
          <w:sz w:val="32"/>
          <w:szCs w:val="32"/>
        </w:rPr>
      </w:pPr>
    </w:p>
    <w:sdt>
      <w:sdtPr>
        <w:tag w:val="NEW_STAND_NAME"/>
        <w:id w:val="595910757"/>
        <w:lock w:val="sdtLocked"/>
        <w:placeholder>
          <w:docPart w:val="5422906BAEED400C9B9FA8D8B3A4962F"/>
        </w:placeholder>
      </w:sdtPr>
      <w:sdtContent>
        <w:p w14:paraId="3AC9FA27">
          <w:pPr>
            <w:pStyle w:val="183"/>
            <w:spacing w:before="240" w:beforeLines="100" w:after="528" w:afterLines="220"/>
            <w:rPr>
              <w:rFonts w:hint="eastAsia"/>
            </w:rPr>
          </w:pPr>
          <w:bookmarkStart w:id="20" w:name="NEW_STAND_NAME"/>
          <w:r>
            <w:rPr>
              <w:rFonts w:hint="eastAsia"/>
            </w:rPr>
            <w:t>虚拟现实电影 第3部分 头戴式显示设备技术要求和测量方法</w:t>
          </w:r>
        </w:p>
      </w:sdtContent>
    </w:sdt>
    <w:bookmarkEnd w:id="20"/>
    <w:p w14:paraId="718E820E">
      <w:pPr>
        <w:pStyle w:val="110"/>
        <w:spacing w:before="240" w:after="240"/>
      </w:pPr>
      <w:bookmarkStart w:id="21" w:name="_Toc17233333"/>
      <w:bookmarkStart w:id="22" w:name="_Toc26718930"/>
      <w:bookmarkStart w:id="23" w:name="_Toc24884218"/>
      <w:bookmarkStart w:id="24" w:name="_Toc97195091"/>
      <w:bookmarkStart w:id="25" w:name="_Toc26986530"/>
      <w:bookmarkStart w:id="26" w:name="_Toc26648465"/>
      <w:bookmarkStart w:id="27" w:name="_Toc17233325"/>
      <w:bookmarkStart w:id="28" w:name="_Toc26986771"/>
      <w:bookmarkStart w:id="29" w:name="_Toc24884211"/>
      <w:bookmarkStart w:id="30" w:name="_Toc11884"/>
      <w:r>
        <w:rPr>
          <w:rFonts w:hint="eastAsia"/>
        </w:rPr>
        <w:t>范围</w:t>
      </w:r>
      <w:bookmarkEnd w:id="21"/>
      <w:bookmarkEnd w:id="22"/>
      <w:bookmarkEnd w:id="23"/>
      <w:bookmarkEnd w:id="24"/>
      <w:bookmarkEnd w:id="25"/>
      <w:bookmarkEnd w:id="26"/>
      <w:bookmarkEnd w:id="27"/>
      <w:bookmarkEnd w:id="28"/>
      <w:bookmarkEnd w:id="29"/>
      <w:bookmarkEnd w:id="30"/>
    </w:p>
    <w:p w14:paraId="032055C4">
      <w:pPr>
        <w:pStyle w:val="62"/>
        <w:ind w:firstLine="420"/>
      </w:pPr>
      <w:bookmarkStart w:id="31" w:name="_Toc24884219"/>
      <w:bookmarkStart w:id="32" w:name="_Toc17233326"/>
      <w:bookmarkStart w:id="33" w:name="_Toc24884212"/>
      <w:bookmarkStart w:id="34" w:name="_Toc17233334"/>
      <w:bookmarkStart w:id="35" w:name="_Toc26648466"/>
      <w:r>
        <w:rPr>
          <w:rFonts w:hint="eastAsia"/>
        </w:rPr>
        <w:t>本文件规定了虚拟现实电影头戴式显示设备的分类、技术要求及相应的测量方法。</w:t>
      </w:r>
    </w:p>
    <w:p w14:paraId="0A86EB4A">
      <w:pPr>
        <w:pStyle w:val="62"/>
        <w:ind w:firstLine="420"/>
      </w:pPr>
      <w:r>
        <w:rPr>
          <w:rFonts w:hint="eastAsia"/>
        </w:rPr>
        <w:t>本文件适用于虚拟现实电影头戴式显示设备的设计、制造、检测和应用。</w:t>
      </w:r>
    </w:p>
    <w:p w14:paraId="74FD3A5E">
      <w:pPr>
        <w:pStyle w:val="110"/>
        <w:spacing w:before="240" w:after="240"/>
      </w:pPr>
      <w:bookmarkStart w:id="36" w:name="_Toc97195092"/>
      <w:bookmarkStart w:id="37" w:name="_Toc26986772"/>
      <w:bookmarkStart w:id="38" w:name="_Toc26718931"/>
      <w:bookmarkStart w:id="39" w:name="_Toc26986531"/>
      <w:bookmarkStart w:id="40" w:name="_Toc20640"/>
      <w:r>
        <w:rPr>
          <w:rFonts w:hint="eastAsia"/>
        </w:rPr>
        <w:t>规范性引用文件</w:t>
      </w:r>
      <w:bookmarkEnd w:id="31"/>
      <w:bookmarkEnd w:id="32"/>
      <w:bookmarkEnd w:id="33"/>
      <w:bookmarkEnd w:id="34"/>
      <w:bookmarkEnd w:id="35"/>
      <w:bookmarkEnd w:id="36"/>
      <w:bookmarkEnd w:id="37"/>
      <w:bookmarkEnd w:id="38"/>
      <w:bookmarkEnd w:id="39"/>
      <w:bookmarkEnd w:id="40"/>
    </w:p>
    <w:sdt>
      <w:sdtPr>
        <w:rPr>
          <w:rFonts w:hint="eastAsia"/>
        </w:rPr>
        <w:id w:val="715848253"/>
        <w:placeholder>
          <w:docPart w:val="1E241202EF514CCABBE7297D949AD0E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31B519BB">
          <w:pPr>
            <w:pStyle w:val="62"/>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BA8F3BA">
      <w:pPr>
        <w:pStyle w:val="62"/>
        <w:ind w:firstLine="420"/>
      </w:pPr>
      <w:r>
        <w:t>GB 18030</w:t>
      </w:r>
      <w:r>
        <w:rPr>
          <w:rFonts w:hint="eastAsia"/>
        </w:rPr>
        <w:t>—</w:t>
      </w:r>
      <w:r>
        <w:t xml:space="preserve">2022 </w:t>
      </w:r>
      <w:r>
        <w:rPr>
          <w:rFonts w:hint="eastAsia"/>
        </w:rPr>
        <w:t>信息技术 中文编码字符集</w:t>
      </w:r>
    </w:p>
    <w:p w14:paraId="6B9AE369">
      <w:pPr>
        <w:pStyle w:val="62"/>
        <w:ind w:firstLine="420"/>
      </w:pPr>
      <w:r>
        <w:t xml:space="preserve">GB/T </w:t>
      </w:r>
      <w:bookmarkStart w:id="41" w:name="OLE_LINK2"/>
      <w:r>
        <w:t>26270</w:t>
      </w:r>
      <w:bookmarkEnd w:id="41"/>
      <w:r>
        <w:rPr>
          <w:rFonts w:hint="eastAsia"/>
        </w:rPr>
        <w:t>—2010 数字电视接收设备标准测试信号</w:t>
      </w:r>
    </w:p>
    <w:p w14:paraId="30131FDE">
      <w:pPr>
        <w:pStyle w:val="62"/>
        <w:ind w:firstLine="420"/>
      </w:pPr>
      <w:r>
        <w:t>GB/T 38259</w:t>
      </w:r>
      <w:r>
        <w:rPr>
          <w:rFonts w:hint="eastAsia"/>
        </w:rPr>
        <w:t>—</w:t>
      </w:r>
      <w:r>
        <w:t>2019</w:t>
      </w:r>
      <w:r>
        <w:rPr>
          <w:rFonts w:hint="eastAsia"/>
        </w:rPr>
        <w:t xml:space="preserve"> 信息技术 虚拟现实头戴式显示设备通用规范</w:t>
      </w:r>
    </w:p>
    <w:p w14:paraId="68BA50B4">
      <w:pPr>
        <w:pStyle w:val="62"/>
        <w:ind w:firstLine="420"/>
      </w:pPr>
      <w:r>
        <w:rPr>
          <w:rFonts w:hint="eastAsia"/>
        </w:rPr>
        <w:t>SJ/T 11348—2016 平板电视显示性能测量方法</w:t>
      </w:r>
    </w:p>
    <w:p w14:paraId="4EB6E70D">
      <w:pPr>
        <w:pStyle w:val="62"/>
        <w:ind w:firstLine="420"/>
      </w:pPr>
      <w:r>
        <w:rPr>
          <w:rFonts w:hint="eastAsia"/>
        </w:rPr>
        <w:t>IEEE 802.11-2020 IEEE信息技术标准-系统间的远程通信和信息交换-局域网和城域网—特定要求 第11部分：无线局域网介质访问控制（MAC）和物理层(PHY)规范 [IEEE Standard for Information Technology—Telecommunications and Information Exchange between Systems Local and Metropolitan Area Networks—Specific Requirements Part 11:Wirele</w:t>
      </w:r>
      <w:r>
        <w:t>ss LAN Medium Access Control (MAC) and Physical Layer (PHY) Specifications]</w:t>
      </w:r>
    </w:p>
    <w:p w14:paraId="59CAB982">
      <w:pPr>
        <w:pStyle w:val="110"/>
        <w:spacing w:before="240" w:after="240"/>
      </w:pPr>
      <w:bookmarkStart w:id="42" w:name="_Toc97195093"/>
      <w:bookmarkStart w:id="43" w:name="_Toc6534"/>
      <w:r>
        <w:rPr>
          <w:rFonts w:hint="eastAsia"/>
          <w:szCs w:val="21"/>
        </w:rPr>
        <w:t>术语和定义</w:t>
      </w:r>
      <w:bookmarkEnd w:id="42"/>
      <w:bookmarkEnd w:id="43"/>
    </w:p>
    <w:sdt>
      <w:sdtPr>
        <w:id w:val="-1909835108"/>
        <w:placeholder>
          <w:docPart w:val="396CA36AC5D74F5C849193C7E294E49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513B9D9F">
          <w:pPr>
            <w:pStyle w:val="62"/>
            <w:ind w:firstLine="420"/>
          </w:pPr>
          <w:bookmarkStart w:id="44" w:name="_Toc26986532"/>
          <w:bookmarkEnd w:id="44"/>
          <w:r>
            <w:t>GB/T 38259—2019界定的以及下列术语和定义适用于本文件。</w:t>
          </w:r>
        </w:p>
      </w:sdtContent>
    </w:sdt>
    <w:p w14:paraId="771ABE17">
      <w:pPr>
        <w:pStyle w:val="229"/>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虚拟现实电影头戴式显示设备 virtual reality films head-mounted display device</w:t>
      </w:r>
    </w:p>
    <w:p w14:paraId="57FB76AF">
      <w:pPr>
        <w:pStyle w:val="62"/>
        <w:ind w:firstLine="420"/>
      </w:pPr>
      <w:r>
        <w:rPr>
          <w:rFonts w:hint="eastAsia"/>
        </w:rPr>
        <w:t>用来在电影院、公益放映场所等公开固定场所观看按电影相关规定发行的虚拟现实电影的佩戴在用户头部的显示设备。</w:t>
      </w:r>
    </w:p>
    <w:p w14:paraId="6504FB01">
      <w:pPr>
        <w:pStyle w:val="229"/>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亮度对比度 iuminance contrast</w:t>
      </w:r>
    </w:p>
    <w:p w14:paraId="0B1E30A1">
      <w:pPr>
        <w:pStyle w:val="62"/>
        <w:ind w:firstLine="420"/>
      </w:pPr>
      <w:r>
        <w:rPr>
          <w:rFonts w:hint="eastAsia"/>
        </w:rPr>
        <w:t>虚拟现实电影头戴式显示设备主视场中心位置的白场图像与黑场图像的亮度的比值。</w:t>
      </w:r>
    </w:p>
    <w:p w14:paraId="203C4D1C">
      <w:pPr>
        <w:pStyle w:val="229"/>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 xml:space="preserve">主视场 main </w:t>
      </w:r>
      <w:r>
        <w:rPr>
          <w:rFonts w:ascii="黑体" w:hAnsi="黑体" w:eastAsia="黑体"/>
        </w:rPr>
        <w:t>field</w:t>
      </w:r>
      <w:r>
        <w:rPr>
          <w:rFonts w:hint="eastAsia" w:ascii="黑体" w:hAnsi="黑体" w:eastAsia="黑体"/>
        </w:rPr>
        <w:t xml:space="preserve"> of view</w:t>
      </w:r>
    </w:p>
    <w:p w14:paraId="4466DCA0">
      <w:pPr>
        <w:pStyle w:val="62"/>
        <w:ind w:firstLine="420"/>
      </w:pPr>
      <w:r>
        <w:rPr>
          <w:rFonts w:hint="eastAsia"/>
        </w:rPr>
        <w:t>人眼静止状态下在虚拟现实电影头戴式显示设备中可观察到的图像没有产生明显畸变的部分，在本文件中为0.3倍全视场。</w:t>
      </w:r>
    </w:p>
    <w:p w14:paraId="392ABB78">
      <w:pPr>
        <w:pStyle w:val="110"/>
        <w:spacing w:before="240" w:after="240"/>
      </w:pPr>
      <w:bookmarkStart w:id="45" w:name="_Toc23104"/>
      <w:r>
        <w:rPr>
          <w:rFonts w:hint="eastAsia"/>
        </w:rPr>
        <w:t>缩略语</w:t>
      </w:r>
      <w:bookmarkEnd w:id="45"/>
    </w:p>
    <w:p w14:paraId="3766C02A">
      <w:pPr>
        <w:pStyle w:val="62"/>
        <w:ind w:firstLine="420"/>
      </w:pPr>
      <w:r>
        <w:rPr>
          <w:rFonts w:hint="eastAsia"/>
        </w:rPr>
        <w:t>下列缩略语适用于本文件。</w:t>
      </w:r>
    </w:p>
    <w:p w14:paraId="7BE6CF5D">
      <w:pPr>
        <w:pStyle w:val="62"/>
        <w:ind w:firstLine="420"/>
      </w:pPr>
      <w:r>
        <w:rPr>
          <w:rFonts w:hint="eastAsia"/>
        </w:rPr>
        <w:t>DoF：自由度（Degree of Freedom）</w:t>
      </w:r>
    </w:p>
    <w:p w14:paraId="60AE2742">
      <w:pPr>
        <w:pStyle w:val="62"/>
        <w:ind w:firstLine="420"/>
      </w:pPr>
      <w:r>
        <w:rPr>
          <w:rFonts w:hint="eastAsia"/>
        </w:rPr>
        <w:t>DP：显示端口（DisplayPort）</w:t>
      </w:r>
    </w:p>
    <w:p w14:paraId="1424EE37">
      <w:pPr>
        <w:pStyle w:val="62"/>
        <w:ind w:firstLine="420"/>
      </w:pPr>
      <w:r>
        <w:rPr>
          <w:rFonts w:hint="eastAsia"/>
        </w:rPr>
        <w:t>DVI：数字视频接口（Digital Visual Interface）</w:t>
      </w:r>
    </w:p>
    <w:p w14:paraId="67D36249">
      <w:pPr>
        <w:pStyle w:val="62"/>
        <w:ind w:firstLine="420"/>
      </w:pPr>
      <w:r>
        <w:rPr>
          <w:rFonts w:hint="eastAsia"/>
        </w:rPr>
        <w:t>HDMI：高清晰度多媒体接口（High-Definition Multimedia Interface）</w:t>
      </w:r>
    </w:p>
    <w:p w14:paraId="336E6E1A">
      <w:pPr>
        <w:pStyle w:val="62"/>
        <w:ind w:firstLine="420"/>
      </w:pPr>
      <w:r>
        <w:rPr>
          <w:rFonts w:hint="eastAsia"/>
        </w:rPr>
        <w:t>OLED：有机发光二极管（Organic Light Emitting Diode）</w:t>
      </w:r>
    </w:p>
    <w:p w14:paraId="2E829E48">
      <w:pPr>
        <w:pStyle w:val="62"/>
        <w:ind w:firstLine="420"/>
      </w:pPr>
      <w:r>
        <w:rPr>
          <w:rFonts w:hint="eastAsia"/>
        </w:rPr>
        <w:t>PPD：每度像素数（Pixels Per Degree）</w:t>
      </w:r>
    </w:p>
    <w:p w14:paraId="623F398F">
      <w:pPr>
        <w:pStyle w:val="62"/>
        <w:ind w:firstLine="420"/>
        <w:rPr>
          <w:rFonts w:hint="eastAsia"/>
        </w:rPr>
      </w:pPr>
      <w:r>
        <w:rPr>
          <w:rFonts w:hint="eastAsia"/>
        </w:rPr>
        <w:t>ROI：感兴趣区域（</w:t>
      </w:r>
      <w:r>
        <w:t>Region of Interest</w:t>
      </w:r>
      <w:r>
        <w:rPr>
          <w:rFonts w:hint="eastAsia"/>
        </w:rPr>
        <w:t>）</w:t>
      </w:r>
    </w:p>
    <w:p w14:paraId="63FF0AE4">
      <w:pPr>
        <w:pStyle w:val="62"/>
        <w:ind w:firstLine="420"/>
      </w:pPr>
      <w:r>
        <w:rPr>
          <w:rFonts w:hint="eastAsia"/>
        </w:rPr>
        <w:t>SDI：串行数字接口（Serial Digital Interface）</w:t>
      </w:r>
    </w:p>
    <w:p w14:paraId="4A51CBC2">
      <w:pPr>
        <w:pStyle w:val="62"/>
        <w:ind w:firstLine="420"/>
      </w:pPr>
      <w:r>
        <w:t>TRS</w:t>
      </w:r>
      <w:r>
        <w:rPr>
          <w:rFonts w:hint="eastAsia"/>
        </w:rPr>
        <w:t>：尖端-环-套筒接口（</w:t>
      </w:r>
      <w:r>
        <w:t>Tip-Ring-Sleeve</w:t>
      </w:r>
      <w:r>
        <w:rPr>
          <w:rFonts w:hint="eastAsia"/>
        </w:rPr>
        <w:t>）</w:t>
      </w:r>
    </w:p>
    <w:p w14:paraId="3F029FC7">
      <w:pPr>
        <w:pStyle w:val="62"/>
        <w:ind w:firstLine="420"/>
      </w:pPr>
      <w:r>
        <w:rPr>
          <w:rFonts w:hint="eastAsia"/>
        </w:rPr>
        <w:t>USB：通用串行总线（</w:t>
      </w:r>
      <w:r>
        <w:t>Universal Serial Bus</w:t>
      </w:r>
      <w:r>
        <w:rPr>
          <w:rFonts w:hint="eastAsia"/>
        </w:rPr>
        <w:t>）</w:t>
      </w:r>
    </w:p>
    <w:p w14:paraId="43C6FA24">
      <w:pPr>
        <w:pStyle w:val="62"/>
        <w:ind w:firstLine="420"/>
        <w:rPr>
          <w:rFonts w:hint="eastAsia"/>
        </w:rPr>
      </w:pPr>
      <w:r>
        <w:rPr>
          <w:rFonts w:hint="eastAsia"/>
        </w:rPr>
        <w:t>MSE：均方误差（</w:t>
      </w:r>
      <w:r>
        <w:t>Mean Squared Error</w:t>
      </w:r>
      <w:r>
        <w:rPr>
          <w:rFonts w:hint="eastAsia"/>
        </w:rPr>
        <w:t>）</w:t>
      </w:r>
    </w:p>
    <w:p w14:paraId="62B86803">
      <w:pPr>
        <w:pStyle w:val="110"/>
        <w:spacing w:before="240" w:after="240"/>
      </w:pPr>
      <w:bookmarkStart w:id="46" w:name="_Toc2048"/>
      <w:r>
        <w:rPr>
          <w:rFonts w:hint="eastAsia"/>
        </w:rPr>
        <w:t>设备分类</w:t>
      </w:r>
      <w:bookmarkEnd w:id="46"/>
    </w:p>
    <w:p w14:paraId="577B294F">
      <w:pPr>
        <w:pStyle w:val="111"/>
        <w:spacing w:before="120" w:after="120"/>
      </w:pPr>
      <w:bookmarkStart w:id="47" w:name="_Toc10338"/>
      <w:r>
        <w:rPr>
          <w:rFonts w:hint="eastAsia"/>
        </w:rPr>
        <w:t>外接式虚拟现实电影头戴式显示设备</w:t>
      </w:r>
      <w:bookmarkEnd w:id="47"/>
    </w:p>
    <w:p w14:paraId="2AEC9CF5">
      <w:pPr>
        <w:pStyle w:val="62"/>
        <w:ind w:firstLine="420"/>
      </w:pPr>
      <w:r>
        <w:rPr>
          <w:rFonts w:hint="eastAsia"/>
        </w:rPr>
        <w:t>头戴部分仅包括显示系统与传感系统，计算部分在计算机上进行，需要通过数据连接线将计算机和 头戴部分连接。</w:t>
      </w:r>
    </w:p>
    <w:p w14:paraId="524E3400">
      <w:pPr>
        <w:pStyle w:val="111"/>
        <w:spacing w:before="120" w:after="120"/>
      </w:pPr>
      <w:bookmarkStart w:id="48" w:name="_Toc7689"/>
      <w:r>
        <w:rPr>
          <w:rFonts w:hint="eastAsia"/>
        </w:rPr>
        <w:t>一体式虚拟现实电影头戴式显示设备</w:t>
      </w:r>
      <w:bookmarkEnd w:id="48"/>
    </w:p>
    <w:p w14:paraId="1D2DCB67">
      <w:pPr>
        <w:pStyle w:val="62"/>
        <w:ind w:firstLine="420"/>
      </w:pPr>
      <w:r>
        <w:rPr>
          <w:rFonts w:hint="eastAsia"/>
        </w:rPr>
        <w:t>头戴部分包括显示系统、传感系统和计算系统；或者仅包括显示系统和传感系统，计算系统不安装在头部，以手持设备方式存在，并通过有线或者无线方式将计算获得的数据传输头戴部分。</w:t>
      </w:r>
    </w:p>
    <w:p w14:paraId="00E0FB60">
      <w:pPr>
        <w:pStyle w:val="110"/>
        <w:spacing w:before="240" w:after="240"/>
      </w:pPr>
      <w:bookmarkStart w:id="49" w:name="_Toc32159"/>
      <w:r>
        <w:rPr>
          <w:rFonts w:hint="eastAsia"/>
        </w:rPr>
        <w:t>技术要求</w:t>
      </w:r>
      <w:bookmarkEnd w:id="49"/>
    </w:p>
    <w:p w14:paraId="521833E4">
      <w:pPr>
        <w:pStyle w:val="111"/>
        <w:spacing w:before="120" w:after="120"/>
      </w:pPr>
      <w:bookmarkStart w:id="50" w:name="_Toc3692"/>
      <w:r>
        <w:rPr>
          <w:rFonts w:hint="eastAsia"/>
        </w:rPr>
        <w:t>一般技术要求</w:t>
      </w:r>
      <w:bookmarkEnd w:id="50"/>
    </w:p>
    <w:p w14:paraId="058B9D81">
      <w:pPr>
        <w:pStyle w:val="62"/>
        <w:ind w:firstLine="420"/>
      </w:pPr>
      <w:r>
        <w:rPr>
          <w:rFonts w:hint="eastAsia"/>
        </w:rPr>
        <w:t>头戴式显示设备一般技术要求应符合表1的规定。</w:t>
      </w:r>
    </w:p>
    <w:p w14:paraId="58261D7A">
      <w:pPr>
        <w:pStyle w:val="118"/>
        <w:spacing w:before="120" w:after="120"/>
      </w:pPr>
      <w:r>
        <w:rPr>
          <w:rFonts w:hint="eastAsia"/>
        </w:rPr>
        <w:t>头戴式显示设备一般技术要求</w:t>
      </w:r>
    </w:p>
    <w:tbl>
      <w:tblPr>
        <w:tblStyle w:val="3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699"/>
        <w:gridCol w:w="1418"/>
        <w:gridCol w:w="3685"/>
        <w:gridCol w:w="3532"/>
      </w:tblGrid>
      <w:tr w14:paraId="188AC1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340" w:hRule="exact"/>
          <w:jc w:val="center"/>
        </w:trPr>
        <w:tc>
          <w:tcPr>
            <w:tcW w:w="699" w:type="dxa"/>
            <w:vMerge w:val="restart"/>
            <w:tcBorders>
              <w:top w:val="single" w:color="auto" w:sz="8" w:space="0"/>
            </w:tcBorders>
            <w:vAlign w:val="center"/>
          </w:tcPr>
          <w:p w14:paraId="4945B354">
            <w:pPr>
              <w:pStyle w:val="184"/>
            </w:pPr>
            <w:r>
              <w:rPr>
                <w:rFonts w:hint="eastAsia"/>
              </w:rPr>
              <w:t>序号</w:t>
            </w:r>
          </w:p>
        </w:tc>
        <w:tc>
          <w:tcPr>
            <w:tcW w:w="1418" w:type="dxa"/>
            <w:vMerge w:val="restart"/>
            <w:tcBorders>
              <w:top w:val="single" w:color="auto" w:sz="8" w:space="0"/>
            </w:tcBorders>
            <w:vAlign w:val="center"/>
          </w:tcPr>
          <w:p w14:paraId="11FD6779">
            <w:pPr>
              <w:pStyle w:val="184"/>
            </w:pPr>
            <w:r>
              <w:rPr>
                <w:rFonts w:hint="eastAsia"/>
              </w:rPr>
              <w:t>参数</w:t>
            </w:r>
          </w:p>
        </w:tc>
        <w:tc>
          <w:tcPr>
            <w:tcW w:w="7217" w:type="dxa"/>
            <w:gridSpan w:val="2"/>
            <w:tcBorders>
              <w:top w:val="single" w:color="auto" w:sz="8" w:space="0"/>
              <w:bottom w:val="single" w:color="auto" w:sz="8" w:space="0"/>
            </w:tcBorders>
            <w:vAlign w:val="center"/>
          </w:tcPr>
          <w:p w14:paraId="41774B26">
            <w:pPr>
              <w:pStyle w:val="184"/>
            </w:pPr>
            <w:r>
              <w:rPr>
                <w:rFonts w:hint="eastAsia"/>
              </w:rPr>
              <w:t>技术要求</w:t>
            </w:r>
          </w:p>
        </w:tc>
      </w:tr>
      <w:tr w14:paraId="231A98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340" w:hRule="exact"/>
          <w:jc w:val="center"/>
        </w:trPr>
        <w:tc>
          <w:tcPr>
            <w:tcW w:w="699" w:type="dxa"/>
            <w:vMerge w:val="continue"/>
            <w:vAlign w:val="center"/>
          </w:tcPr>
          <w:p w14:paraId="1E2E3D65">
            <w:pPr>
              <w:pStyle w:val="184"/>
            </w:pPr>
          </w:p>
        </w:tc>
        <w:tc>
          <w:tcPr>
            <w:tcW w:w="1418" w:type="dxa"/>
            <w:vMerge w:val="continue"/>
            <w:vAlign w:val="center"/>
          </w:tcPr>
          <w:p w14:paraId="6EF602C3">
            <w:pPr>
              <w:pStyle w:val="184"/>
            </w:pPr>
          </w:p>
        </w:tc>
        <w:tc>
          <w:tcPr>
            <w:tcW w:w="3685" w:type="dxa"/>
            <w:tcBorders>
              <w:top w:val="single" w:color="auto" w:sz="8" w:space="0"/>
            </w:tcBorders>
            <w:vAlign w:val="center"/>
          </w:tcPr>
          <w:p w14:paraId="6ED4E015">
            <w:pPr>
              <w:pStyle w:val="184"/>
            </w:pPr>
            <w:r>
              <w:rPr>
                <w:rFonts w:hint="eastAsia"/>
              </w:rPr>
              <w:t>A类</w:t>
            </w:r>
          </w:p>
        </w:tc>
        <w:tc>
          <w:tcPr>
            <w:tcW w:w="3532" w:type="dxa"/>
            <w:tcBorders>
              <w:top w:val="single" w:color="auto" w:sz="8" w:space="0"/>
            </w:tcBorders>
            <w:vAlign w:val="center"/>
          </w:tcPr>
          <w:p w14:paraId="77A57F89">
            <w:pPr>
              <w:pStyle w:val="184"/>
            </w:pPr>
            <w:r>
              <w:rPr>
                <w:rFonts w:hint="eastAsia"/>
              </w:rPr>
              <w:t>B类</w:t>
            </w:r>
          </w:p>
        </w:tc>
      </w:tr>
      <w:tr w14:paraId="04067A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340" w:hRule="exact"/>
          <w:jc w:val="center"/>
        </w:trPr>
        <w:tc>
          <w:tcPr>
            <w:tcW w:w="699" w:type="dxa"/>
            <w:vAlign w:val="center"/>
          </w:tcPr>
          <w:p w14:paraId="4E6C033E">
            <w:pPr>
              <w:pStyle w:val="184"/>
            </w:pPr>
            <w:r>
              <w:rPr>
                <w:rFonts w:hint="eastAsia"/>
              </w:rPr>
              <w:t>1</w:t>
            </w:r>
          </w:p>
        </w:tc>
        <w:tc>
          <w:tcPr>
            <w:tcW w:w="1418" w:type="dxa"/>
            <w:vAlign w:val="center"/>
          </w:tcPr>
          <w:p w14:paraId="20C5397E">
            <w:pPr>
              <w:pStyle w:val="184"/>
            </w:pPr>
            <w:r>
              <w:rPr>
                <w:rFonts w:hint="eastAsia"/>
              </w:rPr>
              <w:t>水平视场角</w:t>
            </w:r>
          </w:p>
        </w:tc>
        <w:tc>
          <w:tcPr>
            <w:tcW w:w="7217" w:type="dxa"/>
            <w:gridSpan w:val="2"/>
            <w:vAlign w:val="center"/>
          </w:tcPr>
          <w:p w14:paraId="493B53B1">
            <w:pPr>
              <w:pStyle w:val="184"/>
              <w:rPr>
                <w:highlight w:val="none"/>
              </w:rPr>
            </w:pPr>
            <w:r>
              <w:rPr>
                <w:rFonts w:hint="eastAsia"/>
                <w:highlight w:val="none"/>
              </w:rPr>
              <w:t>≥100 °</w:t>
            </w:r>
          </w:p>
        </w:tc>
      </w:tr>
      <w:tr w14:paraId="0D9BA0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340" w:hRule="exact"/>
          <w:jc w:val="center"/>
        </w:trPr>
        <w:tc>
          <w:tcPr>
            <w:tcW w:w="699" w:type="dxa"/>
            <w:vAlign w:val="center"/>
          </w:tcPr>
          <w:p w14:paraId="079B375A">
            <w:pPr>
              <w:pStyle w:val="184"/>
            </w:pPr>
            <w:r>
              <w:rPr>
                <w:rFonts w:hint="eastAsia"/>
              </w:rPr>
              <w:t>2</w:t>
            </w:r>
          </w:p>
        </w:tc>
        <w:tc>
          <w:tcPr>
            <w:tcW w:w="1418" w:type="dxa"/>
            <w:vAlign w:val="center"/>
          </w:tcPr>
          <w:p w14:paraId="68A72866">
            <w:pPr>
              <w:pStyle w:val="184"/>
            </w:pPr>
            <w:r>
              <w:rPr>
                <w:rFonts w:hint="eastAsia"/>
              </w:rPr>
              <w:t>瞳距范围</w:t>
            </w:r>
          </w:p>
        </w:tc>
        <w:tc>
          <w:tcPr>
            <w:tcW w:w="7217" w:type="dxa"/>
            <w:gridSpan w:val="2"/>
            <w:vAlign w:val="center"/>
          </w:tcPr>
          <w:p w14:paraId="6FC5AD70">
            <w:pPr>
              <w:pStyle w:val="184"/>
            </w:pPr>
            <w:r>
              <w:rPr>
                <w:rFonts w:hint="eastAsia"/>
              </w:rPr>
              <w:t>具备瞳距调节功能，最大瞳距应≤75 mm, 最小瞳距应≥50 mm。</w:t>
            </w:r>
          </w:p>
        </w:tc>
      </w:tr>
      <w:tr w14:paraId="6B1639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533" w:hRule="exact"/>
          <w:jc w:val="center"/>
        </w:trPr>
        <w:tc>
          <w:tcPr>
            <w:tcW w:w="699" w:type="dxa"/>
            <w:vAlign w:val="center"/>
          </w:tcPr>
          <w:p w14:paraId="2667DBF6">
            <w:pPr>
              <w:pStyle w:val="184"/>
            </w:pPr>
            <w:r>
              <w:rPr>
                <w:rFonts w:hint="eastAsia"/>
              </w:rPr>
              <w:t>3</w:t>
            </w:r>
          </w:p>
        </w:tc>
        <w:tc>
          <w:tcPr>
            <w:tcW w:w="1418" w:type="dxa"/>
            <w:vAlign w:val="center"/>
          </w:tcPr>
          <w:p w14:paraId="796E20F7">
            <w:pPr>
              <w:pStyle w:val="184"/>
            </w:pPr>
            <w:r>
              <w:rPr>
                <w:rFonts w:hint="eastAsia"/>
              </w:rPr>
              <w:t>出瞳距离和出瞳直径</w:t>
            </w:r>
          </w:p>
        </w:tc>
        <w:tc>
          <w:tcPr>
            <w:tcW w:w="7217" w:type="dxa"/>
            <w:gridSpan w:val="2"/>
            <w:vAlign w:val="center"/>
          </w:tcPr>
          <w:p w14:paraId="10F39134">
            <w:pPr>
              <w:pStyle w:val="184"/>
            </w:pPr>
            <w:r>
              <w:rPr>
                <w:rFonts w:hint="eastAsia"/>
              </w:rPr>
              <w:t>出瞳距离≥10 mm</w:t>
            </w:r>
            <w:bookmarkStart w:id="51" w:name="OLE_LINK9"/>
            <w:r>
              <w:rPr>
                <w:rFonts w:hint="eastAsia"/>
              </w:rPr>
              <w:t>，在标示出瞳距离位置上出瞳直径≥4 mm</w:t>
            </w:r>
            <w:bookmarkEnd w:id="51"/>
            <w:r>
              <w:rPr>
                <w:rFonts w:hint="eastAsia"/>
              </w:rPr>
              <w:t>。</w:t>
            </w:r>
          </w:p>
        </w:tc>
      </w:tr>
      <w:tr w14:paraId="6983BE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340" w:hRule="exact"/>
          <w:jc w:val="center"/>
        </w:trPr>
        <w:tc>
          <w:tcPr>
            <w:tcW w:w="699" w:type="dxa"/>
            <w:vAlign w:val="center"/>
          </w:tcPr>
          <w:p w14:paraId="4EB82DBB">
            <w:pPr>
              <w:pStyle w:val="184"/>
            </w:pPr>
            <w:r>
              <w:rPr>
                <w:rFonts w:hint="eastAsia"/>
              </w:rPr>
              <w:t>4</w:t>
            </w:r>
          </w:p>
        </w:tc>
        <w:tc>
          <w:tcPr>
            <w:tcW w:w="1418" w:type="dxa"/>
            <w:vAlign w:val="center"/>
          </w:tcPr>
          <w:p w14:paraId="0ABF3E79">
            <w:pPr>
              <w:pStyle w:val="184"/>
            </w:pPr>
            <w:r>
              <w:rPr>
                <w:rFonts w:hint="eastAsia"/>
              </w:rPr>
              <w:t>主视场畸变</w:t>
            </w:r>
          </w:p>
        </w:tc>
        <w:tc>
          <w:tcPr>
            <w:tcW w:w="7217" w:type="dxa"/>
            <w:gridSpan w:val="2"/>
            <w:vAlign w:val="center"/>
          </w:tcPr>
          <w:p w14:paraId="65CC4BC5">
            <w:pPr>
              <w:pStyle w:val="184"/>
            </w:pPr>
            <w:r>
              <w:rPr>
                <w:rFonts w:hint="eastAsia"/>
              </w:rPr>
              <w:t>在软件算法校正畸变之后，在主视场角下，畸变应≤5%。</w:t>
            </w:r>
          </w:p>
        </w:tc>
      </w:tr>
      <w:tr w14:paraId="404864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1360" w:hRule="exact"/>
          <w:jc w:val="center"/>
        </w:trPr>
        <w:tc>
          <w:tcPr>
            <w:tcW w:w="699" w:type="dxa"/>
            <w:vAlign w:val="center"/>
          </w:tcPr>
          <w:p w14:paraId="7E1DD6E0">
            <w:pPr>
              <w:pStyle w:val="184"/>
            </w:pPr>
            <w:r>
              <w:rPr>
                <w:rFonts w:hint="eastAsia"/>
              </w:rPr>
              <w:t>5</w:t>
            </w:r>
          </w:p>
        </w:tc>
        <w:tc>
          <w:tcPr>
            <w:tcW w:w="1418" w:type="dxa"/>
            <w:vAlign w:val="center"/>
          </w:tcPr>
          <w:p w14:paraId="59C94264">
            <w:pPr>
              <w:pStyle w:val="184"/>
            </w:pPr>
            <w:r>
              <w:rPr>
                <w:rFonts w:hint="eastAsia"/>
              </w:rPr>
              <w:t>中心点色彩还原</w:t>
            </w:r>
          </w:p>
        </w:tc>
        <w:tc>
          <w:tcPr>
            <w:tcW w:w="3685" w:type="dxa"/>
            <w:vAlign w:val="center"/>
          </w:tcPr>
          <w:p w14:paraId="1904C947">
            <w:pPr>
              <w:pStyle w:val="184"/>
              <w:ind w:firstLine="180" w:firstLineChars="100"/>
              <w:jc w:val="both"/>
            </w:pPr>
            <w:r>
              <w:rPr>
                <w:rFonts w:hint="eastAsia"/>
              </w:rPr>
              <w:t>白：x</w:t>
            </w:r>
            <w:r>
              <w:rPr>
                <w:rFonts w:hint="eastAsia" w:hAnsi="宋体"/>
              </w:rPr>
              <w:t>=</w:t>
            </w:r>
            <w:r>
              <w:rPr>
                <w:rFonts w:hint="eastAsia"/>
              </w:rPr>
              <w:t>0.3140</w:t>
            </w:r>
            <w:r>
              <w:rPr>
                <w:rFonts w:hint="eastAsia" w:ascii="仿宋_GB2312" w:eastAsia="仿宋_GB2312"/>
              </w:rPr>
              <w:t>±</w:t>
            </w:r>
            <w:r>
              <w:rPr>
                <w:rFonts w:hint="eastAsia"/>
              </w:rPr>
              <w:t>0.002</w:t>
            </w:r>
            <w:r>
              <w:rPr>
                <w:rFonts w:hint="eastAsia" w:hAnsi="宋体"/>
              </w:rPr>
              <w:t>，y=</w:t>
            </w:r>
            <w:r>
              <w:rPr>
                <w:rFonts w:hint="eastAsia"/>
              </w:rPr>
              <w:t>0.3510</w:t>
            </w:r>
            <w:r>
              <w:rPr>
                <w:rFonts w:hint="eastAsia" w:ascii="仿宋_GB2312" w:eastAsia="仿宋_GB2312"/>
              </w:rPr>
              <w:t>±</w:t>
            </w:r>
            <w:r>
              <w:rPr>
                <w:rFonts w:hint="eastAsia"/>
              </w:rPr>
              <w:t>0.002</w:t>
            </w:r>
          </w:p>
          <w:p w14:paraId="67AA5F30">
            <w:pPr>
              <w:pStyle w:val="184"/>
              <w:ind w:firstLine="180" w:firstLineChars="100"/>
              <w:jc w:val="both"/>
            </w:pPr>
            <w:r>
              <w:rPr>
                <w:rFonts w:hint="eastAsia"/>
              </w:rPr>
              <w:t>红：x</w:t>
            </w:r>
            <w:r>
              <w:rPr>
                <w:rFonts w:hint="eastAsia" w:hAnsi="宋体"/>
              </w:rPr>
              <w:t>=</w:t>
            </w:r>
            <w:r>
              <w:rPr>
                <w:rFonts w:hint="eastAsia"/>
              </w:rPr>
              <w:t>0.6800</w:t>
            </w:r>
            <w:r>
              <w:rPr>
                <w:rFonts w:hint="eastAsia" w:ascii="仿宋_GB2312" w:eastAsia="仿宋_GB2312"/>
              </w:rPr>
              <w:t>±</w:t>
            </w:r>
            <w:r>
              <w:rPr>
                <w:rFonts w:hint="eastAsia"/>
              </w:rPr>
              <w:t>0.01</w:t>
            </w:r>
            <w:r>
              <w:rPr>
                <w:rFonts w:hint="eastAsia" w:hAnsi="宋体"/>
              </w:rPr>
              <w:t>，y=</w:t>
            </w:r>
            <w:r>
              <w:rPr>
                <w:rFonts w:hint="eastAsia"/>
              </w:rPr>
              <w:t>0.3200</w:t>
            </w:r>
            <w:r>
              <w:rPr>
                <w:rFonts w:hint="eastAsia" w:ascii="仿宋_GB2312" w:eastAsia="仿宋_GB2312"/>
              </w:rPr>
              <w:t>±</w:t>
            </w:r>
            <w:r>
              <w:rPr>
                <w:rFonts w:hint="eastAsia"/>
              </w:rPr>
              <w:t>0.01</w:t>
            </w:r>
          </w:p>
          <w:p w14:paraId="0E12AFB3">
            <w:pPr>
              <w:pStyle w:val="184"/>
              <w:ind w:firstLine="180" w:firstLineChars="100"/>
              <w:jc w:val="both"/>
            </w:pPr>
            <w:r>
              <w:rPr>
                <w:rFonts w:hint="eastAsia"/>
              </w:rPr>
              <w:t>绿：x</w:t>
            </w:r>
            <w:r>
              <w:rPr>
                <w:rFonts w:hint="eastAsia" w:hAnsi="宋体"/>
              </w:rPr>
              <w:t>=</w:t>
            </w:r>
            <w:r>
              <w:rPr>
                <w:rFonts w:hint="eastAsia"/>
              </w:rPr>
              <w:t>0.2650</w:t>
            </w:r>
            <w:r>
              <w:rPr>
                <w:rFonts w:hint="eastAsia" w:ascii="仿宋_GB2312" w:eastAsia="仿宋_GB2312"/>
              </w:rPr>
              <w:t>±</w:t>
            </w:r>
            <w:r>
              <w:rPr>
                <w:rFonts w:hint="eastAsia"/>
              </w:rPr>
              <w:t>0.02</w:t>
            </w:r>
            <w:r>
              <w:rPr>
                <w:rFonts w:hint="eastAsia" w:hAnsi="宋体"/>
              </w:rPr>
              <w:t>，y=</w:t>
            </w:r>
            <w:r>
              <w:rPr>
                <w:rFonts w:hint="eastAsia"/>
              </w:rPr>
              <w:t>0.6900</w:t>
            </w:r>
            <w:r>
              <w:rPr>
                <w:rFonts w:hint="eastAsia" w:ascii="仿宋_GB2312" w:eastAsia="仿宋_GB2312"/>
              </w:rPr>
              <w:t>±</w:t>
            </w:r>
            <w:r>
              <w:rPr>
                <w:rFonts w:hint="eastAsia"/>
              </w:rPr>
              <w:t>0.02</w:t>
            </w:r>
          </w:p>
          <w:p w14:paraId="7DEB11C8">
            <w:pPr>
              <w:pStyle w:val="184"/>
              <w:ind w:firstLine="180" w:firstLineChars="100"/>
              <w:jc w:val="both"/>
              <w:rPr>
                <w:rFonts w:hint="eastAsia" w:hAnsi="宋体"/>
              </w:rPr>
            </w:pPr>
            <w:r>
              <w:rPr>
                <w:rFonts w:hint="eastAsia"/>
              </w:rPr>
              <w:t>蓝：x</w:t>
            </w:r>
            <w:r>
              <w:rPr>
                <w:rFonts w:hint="eastAsia" w:hAnsi="宋体"/>
              </w:rPr>
              <w:t>=</w:t>
            </w:r>
            <w:r>
              <w:rPr>
                <w:rFonts w:hint="eastAsia"/>
              </w:rPr>
              <w:t>0.1500</w:t>
            </w:r>
            <w:r>
              <w:rPr>
                <w:rFonts w:hint="eastAsia" w:ascii="仿宋_GB2312" w:eastAsia="仿宋_GB2312"/>
              </w:rPr>
              <w:t>＋0.0</w:t>
            </w:r>
            <w:r>
              <w:rPr>
                <w:rFonts w:hint="eastAsia"/>
              </w:rPr>
              <w:t>1</w:t>
            </w:r>
            <w:r>
              <w:rPr>
                <w:rFonts w:hint="eastAsia" w:ascii="仿宋_GB2312" w:eastAsia="仿宋_GB2312"/>
              </w:rPr>
              <w:t>／－</w:t>
            </w:r>
            <w:r>
              <w:rPr>
                <w:rFonts w:hint="eastAsia"/>
              </w:rPr>
              <w:t>0.03</w:t>
            </w:r>
            <w:r>
              <w:rPr>
                <w:rFonts w:hint="eastAsia" w:hAnsi="宋体"/>
              </w:rPr>
              <w:t>，</w:t>
            </w:r>
          </w:p>
          <w:p w14:paraId="3E1628DB">
            <w:pPr>
              <w:pStyle w:val="184"/>
              <w:ind w:firstLine="540" w:firstLineChars="300"/>
              <w:jc w:val="both"/>
            </w:pPr>
            <w:r>
              <w:rPr>
                <w:rFonts w:hint="eastAsia" w:hAnsi="宋体"/>
              </w:rPr>
              <w:t>y=</w:t>
            </w:r>
            <w:r>
              <w:rPr>
                <w:rFonts w:hint="eastAsia"/>
              </w:rPr>
              <w:t>0.0600</w:t>
            </w:r>
            <w:r>
              <w:rPr>
                <w:rFonts w:hint="eastAsia" w:ascii="仿宋_GB2312" w:eastAsia="仿宋_GB2312"/>
              </w:rPr>
              <w:t>＋0.0</w:t>
            </w:r>
            <w:r>
              <w:rPr>
                <w:rFonts w:hint="eastAsia"/>
              </w:rPr>
              <w:t>2</w:t>
            </w:r>
            <w:r>
              <w:rPr>
                <w:rFonts w:hint="eastAsia" w:ascii="仿宋_GB2312" w:eastAsia="仿宋_GB2312"/>
              </w:rPr>
              <w:t>／－</w:t>
            </w:r>
            <w:r>
              <w:rPr>
                <w:rFonts w:hint="eastAsia"/>
              </w:rPr>
              <w:t>0.04</w:t>
            </w:r>
          </w:p>
        </w:tc>
        <w:tc>
          <w:tcPr>
            <w:tcW w:w="3532" w:type="dxa"/>
            <w:vAlign w:val="center"/>
          </w:tcPr>
          <w:p w14:paraId="732A357E">
            <w:pPr>
              <w:pStyle w:val="184"/>
              <w:ind w:firstLine="180" w:firstLineChars="100"/>
              <w:jc w:val="both"/>
            </w:pPr>
            <w:r>
              <w:rPr>
                <w:rFonts w:hint="eastAsia"/>
              </w:rPr>
              <w:t>白：x</w:t>
            </w:r>
            <w:r>
              <w:rPr>
                <w:rFonts w:hint="eastAsia" w:hAnsi="宋体"/>
              </w:rPr>
              <w:t>=</w:t>
            </w:r>
            <w:r>
              <w:rPr>
                <w:rFonts w:hint="eastAsia"/>
              </w:rPr>
              <w:t>0.3127</w:t>
            </w:r>
            <w:r>
              <w:rPr>
                <w:rFonts w:hint="eastAsia" w:ascii="仿宋_GB2312" w:eastAsia="仿宋_GB2312"/>
              </w:rPr>
              <w:t>±</w:t>
            </w:r>
            <w:r>
              <w:rPr>
                <w:rFonts w:hint="eastAsia"/>
              </w:rPr>
              <w:t>0.03</w:t>
            </w:r>
            <w:r>
              <w:rPr>
                <w:rFonts w:hint="eastAsia" w:hAnsi="宋体"/>
              </w:rPr>
              <w:t>，y=</w:t>
            </w:r>
            <w:r>
              <w:rPr>
                <w:rFonts w:hint="eastAsia"/>
              </w:rPr>
              <w:t>0.3290</w:t>
            </w:r>
            <w:r>
              <w:rPr>
                <w:rFonts w:hint="eastAsia" w:ascii="仿宋_GB2312" w:eastAsia="仿宋_GB2312"/>
              </w:rPr>
              <w:t>±</w:t>
            </w:r>
            <w:r>
              <w:rPr>
                <w:rFonts w:hint="eastAsia"/>
              </w:rPr>
              <w:t>0.03</w:t>
            </w:r>
          </w:p>
          <w:p w14:paraId="35531E1B">
            <w:pPr>
              <w:pStyle w:val="184"/>
              <w:ind w:firstLine="180" w:firstLineChars="100"/>
              <w:jc w:val="both"/>
            </w:pPr>
            <w:r>
              <w:rPr>
                <w:rFonts w:hint="eastAsia"/>
              </w:rPr>
              <w:t>红：x</w:t>
            </w:r>
            <w:r>
              <w:rPr>
                <w:rFonts w:hint="eastAsia" w:hAnsi="宋体"/>
              </w:rPr>
              <w:t>=</w:t>
            </w:r>
            <w:r>
              <w:rPr>
                <w:rFonts w:hint="eastAsia"/>
              </w:rPr>
              <w:t>0.6400</w:t>
            </w:r>
            <w:r>
              <w:rPr>
                <w:rFonts w:hint="eastAsia" w:ascii="仿宋_GB2312" w:eastAsia="仿宋_GB2312"/>
              </w:rPr>
              <w:t>±</w:t>
            </w:r>
            <w:r>
              <w:rPr>
                <w:rFonts w:hint="eastAsia"/>
              </w:rPr>
              <w:t>0.03</w:t>
            </w:r>
            <w:r>
              <w:rPr>
                <w:rFonts w:hint="eastAsia" w:hAnsi="宋体"/>
              </w:rPr>
              <w:t>，y=</w:t>
            </w:r>
            <w:r>
              <w:rPr>
                <w:rFonts w:hint="eastAsia"/>
              </w:rPr>
              <w:t>0.3300</w:t>
            </w:r>
            <w:r>
              <w:rPr>
                <w:rFonts w:hint="eastAsia" w:ascii="仿宋_GB2312" w:eastAsia="仿宋_GB2312"/>
              </w:rPr>
              <w:t>±</w:t>
            </w:r>
            <w:r>
              <w:rPr>
                <w:rFonts w:hint="eastAsia"/>
              </w:rPr>
              <w:t>0.03</w:t>
            </w:r>
          </w:p>
          <w:p w14:paraId="50B6CB0C">
            <w:pPr>
              <w:pStyle w:val="184"/>
              <w:ind w:firstLine="180" w:firstLineChars="100"/>
              <w:jc w:val="both"/>
            </w:pPr>
            <w:r>
              <w:rPr>
                <w:rFonts w:hint="eastAsia"/>
              </w:rPr>
              <w:t>绿：x</w:t>
            </w:r>
            <w:r>
              <w:rPr>
                <w:rFonts w:hint="eastAsia" w:hAnsi="宋体"/>
              </w:rPr>
              <w:t>=</w:t>
            </w:r>
            <w:r>
              <w:rPr>
                <w:rFonts w:hint="eastAsia"/>
              </w:rPr>
              <w:t>0.3000</w:t>
            </w:r>
            <w:r>
              <w:rPr>
                <w:rFonts w:hint="eastAsia" w:ascii="仿宋_GB2312" w:eastAsia="仿宋_GB2312"/>
              </w:rPr>
              <w:t>±</w:t>
            </w:r>
            <w:r>
              <w:rPr>
                <w:rFonts w:hint="eastAsia"/>
              </w:rPr>
              <w:t>0.03</w:t>
            </w:r>
            <w:r>
              <w:rPr>
                <w:rFonts w:hint="eastAsia" w:hAnsi="宋体"/>
              </w:rPr>
              <w:t>，y=</w:t>
            </w:r>
            <w:r>
              <w:rPr>
                <w:rFonts w:hint="eastAsia"/>
              </w:rPr>
              <w:t>0.6000</w:t>
            </w:r>
            <w:r>
              <w:rPr>
                <w:rFonts w:hint="eastAsia" w:ascii="仿宋_GB2312" w:eastAsia="仿宋_GB2312"/>
              </w:rPr>
              <w:t>±</w:t>
            </w:r>
            <w:r>
              <w:rPr>
                <w:rFonts w:hint="eastAsia"/>
              </w:rPr>
              <w:t>0.03</w:t>
            </w:r>
          </w:p>
          <w:p w14:paraId="0F987204">
            <w:pPr>
              <w:pStyle w:val="184"/>
              <w:ind w:firstLine="180" w:firstLineChars="100"/>
              <w:jc w:val="both"/>
              <w:rPr>
                <w:rFonts w:hint="eastAsia" w:hAnsi="宋体"/>
              </w:rPr>
            </w:pPr>
            <w:r>
              <w:rPr>
                <w:rFonts w:hint="eastAsia"/>
              </w:rPr>
              <w:t>蓝：x</w:t>
            </w:r>
            <w:r>
              <w:rPr>
                <w:rFonts w:hint="eastAsia" w:hAnsi="宋体"/>
              </w:rPr>
              <w:t>=</w:t>
            </w:r>
            <w:r>
              <w:rPr>
                <w:rFonts w:hint="eastAsia"/>
              </w:rPr>
              <w:t>0.1500</w:t>
            </w:r>
            <w:r>
              <w:rPr>
                <w:rFonts w:hint="eastAsia" w:ascii="仿宋_GB2312" w:eastAsia="仿宋_GB2312"/>
              </w:rPr>
              <w:t>±</w:t>
            </w:r>
            <w:r>
              <w:rPr>
                <w:rFonts w:hint="eastAsia"/>
              </w:rPr>
              <w:t>0.03</w:t>
            </w:r>
            <w:r>
              <w:rPr>
                <w:rFonts w:hint="eastAsia" w:hAnsi="宋体"/>
              </w:rPr>
              <w:t>，</w:t>
            </w:r>
          </w:p>
          <w:p w14:paraId="665AB115">
            <w:pPr>
              <w:pStyle w:val="184"/>
              <w:ind w:firstLine="540" w:firstLineChars="300"/>
              <w:jc w:val="both"/>
            </w:pPr>
            <w:r>
              <w:rPr>
                <w:rFonts w:hint="eastAsia" w:hAnsi="宋体"/>
              </w:rPr>
              <w:t>y=</w:t>
            </w:r>
            <w:r>
              <w:rPr>
                <w:rFonts w:hint="eastAsia"/>
              </w:rPr>
              <w:t>0.0600</w:t>
            </w:r>
            <w:r>
              <w:rPr>
                <w:rFonts w:hint="eastAsia" w:ascii="仿宋_GB2312" w:eastAsia="仿宋_GB2312"/>
              </w:rPr>
              <w:t>＋</w:t>
            </w:r>
            <w:r>
              <w:rPr>
                <w:rFonts w:hint="eastAsia"/>
              </w:rPr>
              <w:t>0.03</w:t>
            </w:r>
            <w:r>
              <w:rPr>
                <w:rFonts w:hint="eastAsia" w:ascii="仿宋_GB2312" w:eastAsia="仿宋_GB2312"/>
              </w:rPr>
              <w:t>／－</w:t>
            </w:r>
            <w:r>
              <w:rPr>
                <w:rFonts w:hint="eastAsia"/>
              </w:rPr>
              <w:t>0.04</w:t>
            </w:r>
          </w:p>
        </w:tc>
      </w:tr>
      <w:tr w14:paraId="10A3B9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340" w:hRule="exact"/>
          <w:jc w:val="center"/>
        </w:trPr>
        <w:tc>
          <w:tcPr>
            <w:tcW w:w="699" w:type="dxa"/>
            <w:vAlign w:val="center"/>
          </w:tcPr>
          <w:p w14:paraId="3439A045">
            <w:pPr>
              <w:pStyle w:val="184"/>
            </w:pPr>
            <w:r>
              <w:rPr>
                <w:rFonts w:hint="eastAsia"/>
              </w:rPr>
              <w:t>6</w:t>
            </w:r>
          </w:p>
        </w:tc>
        <w:tc>
          <w:tcPr>
            <w:tcW w:w="1418" w:type="dxa"/>
            <w:vAlign w:val="center"/>
          </w:tcPr>
          <w:p w14:paraId="21C64E6F">
            <w:pPr>
              <w:pStyle w:val="184"/>
            </w:pPr>
            <w:r>
              <w:rPr>
                <w:rFonts w:hint="eastAsia"/>
              </w:rPr>
              <w:t>色度均匀性</w:t>
            </w:r>
          </w:p>
        </w:tc>
        <w:tc>
          <w:tcPr>
            <w:tcW w:w="3685" w:type="dxa"/>
            <w:vAlign w:val="center"/>
          </w:tcPr>
          <w:p w14:paraId="4FBBCA38">
            <w:pPr>
              <w:pStyle w:val="184"/>
            </w:pPr>
            <w:r>
              <w:rPr>
                <w:rFonts w:ascii="Cambria Math" w:hAnsi="Cambria Math" w:eastAsia="Cambria Math" w:cs="Cambria Math"/>
                <w:color w:val="000000"/>
                <w:sz w:val="21"/>
                <w:szCs w:val="21"/>
                <w:lang w:bidi="ar"/>
              </w:rPr>
              <w:t>𝛥𝑢</w:t>
            </w:r>
            <w:r>
              <w:rPr>
                <w:rFonts w:ascii="TimesNewRomanPS-ItalicMT" w:hAnsi="TimesNewRomanPS-ItalicMT" w:eastAsia="TimesNewRomanPS-ItalicMT" w:cs="TimesNewRomanPS-ItalicMT"/>
                <w:i/>
                <w:iCs/>
                <w:color w:val="000000"/>
                <w:sz w:val="21"/>
                <w:szCs w:val="21"/>
                <w:lang w:bidi="ar"/>
              </w:rPr>
              <w:t>′</w:t>
            </w:r>
            <w:r>
              <w:rPr>
                <w:rFonts w:ascii="Cambria Math" w:hAnsi="Cambria Math" w:eastAsia="Cambria Math" w:cs="Cambria Math"/>
                <w:color w:val="000000"/>
                <w:sz w:val="21"/>
                <w:szCs w:val="21"/>
                <w:lang w:bidi="ar"/>
              </w:rPr>
              <w:t>𝑣</w:t>
            </w:r>
            <w:r>
              <w:rPr>
                <w:rFonts w:ascii="TimesNewRomanPS-ItalicMT" w:hAnsi="TimesNewRomanPS-ItalicMT" w:eastAsia="TimesNewRomanPS-ItalicMT" w:cs="TimesNewRomanPS-ItalicMT"/>
                <w:i/>
                <w:iCs/>
                <w:color w:val="000000"/>
                <w:sz w:val="21"/>
                <w:szCs w:val="21"/>
                <w:lang w:bidi="ar"/>
              </w:rPr>
              <w:t>′</w:t>
            </w:r>
            <w:r>
              <w:rPr>
                <w:rFonts w:hint="eastAsia"/>
              </w:rPr>
              <w:t>≤0.04</w:t>
            </w:r>
          </w:p>
        </w:tc>
        <w:tc>
          <w:tcPr>
            <w:tcW w:w="3532" w:type="dxa"/>
            <w:vAlign w:val="center"/>
          </w:tcPr>
          <w:p w14:paraId="7249B4A3">
            <w:pPr>
              <w:pStyle w:val="184"/>
            </w:pPr>
            <w:r>
              <w:rPr>
                <w:rFonts w:ascii="Cambria Math" w:hAnsi="Cambria Math" w:eastAsia="Cambria Math" w:cs="Cambria Math"/>
                <w:color w:val="000000"/>
                <w:sz w:val="21"/>
                <w:szCs w:val="21"/>
                <w:lang w:bidi="ar"/>
              </w:rPr>
              <w:t>𝛥𝑢</w:t>
            </w:r>
            <w:r>
              <w:rPr>
                <w:rFonts w:ascii="TimesNewRomanPS-ItalicMT" w:hAnsi="TimesNewRomanPS-ItalicMT" w:eastAsia="TimesNewRomanPS-ItalicMT" w:cs="TimesNewRomanPS-ItalicMT"/>
                <w:i/>
                <w:iCs/>
                <w:color w:val="000000"/>
                <w:sz w:val="21"/>
                <w:szCs w:val="21"/>
                <w:lang w:bidi="ar"/>
              </w:rPr>
              <w:t>′</w:t>
            </w:r>
            <w:r>
              <w:rPr>
                <w:rFonts w:ascii="Cambria Math" w:hAnsi="Cambria Math" w:eastAsia="Cambria Math" w:cs="Cambria Math"/>
                <w:color w:val="000000"/>
                <w:sz w:val="21"/>
                <w:szCs w:val="21"/>
                <w:lang w:bidi="ar"/>
              </w:rPr>
              <w:t>𝑣</w:t>
            </w:r>
            <w:r>
              <w:rPr>
                <w:rFonts w:ascii="TimesNewRomanPS-ItalicMT" w:hAnsi="TimesNewRomanPS-ItalicMT" w:eastAsia="TimesNewRomanPS-ItalicMT" w:cs="TimesNewRomanPS-ItalicMT"/>
                <w:i/>
                <w:iCs/>
                <w:color w:val="000000"/>
                <w:sz w:val="21"/>
                <w:szCs w:val="21"/>
                <w:lang w:bidi="ar"/>
              </w:rPr>
              <w:t>′</w:t>
            </w:r>
            <w:r>
              <w:rPr>
                <w:rFonts w:hint="eastAsia"/>
              </w:rPr>
              <w:t>≤0.1</w:t>
            </w:r>
          </w:p>
        </w:tc>
      </w:tr>
      <w:tr w14:paraId="77E372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340" w:hRule="exact"/>
          <w:jc w:val="center"/>
        </w:trPr>
        <w:tc>
          <w:tcPr>
            <w:tcW w:w="699" w:type="dxa"/>
            <w:vAlign w:val="center"/>
          </w:tcPr>
          <w:p w14:paraId="740DF100">
            <w:pPr>
              <w:pStyle w:val="184"/>
            </w:pPr>
            <w:r>
              <w:rPr>
                <w:rFonts w:hint="eastAsia"/>
              </w:rPr>
              <w:t>7</w:t>
            </w:r>
          </w:p>
        </w:tc>
        <w:tc>
          <w:tcPr>
            <w:tcW w:w="1418" w:type="dxa"/>
            <w:vAlign w:val="center"/>
          </w:tcPr>
          <w:p w14:paraId="55E37BBE">
            <w:pPr>
              <w:pStyle w:val="184"/>
            </w:pPr>
            <w:r>
              <w:rPr>
                <w:rFonts w:hint="eastAsia"/>
              </w:rPr>
              <w:t>单眼显示分辨率</w:t>
            </w:r>
          </w:p>
        </w:tc>
        <w:tc>
          <w:tcPr>
            <w:tcW w:w="3685" w:type="dxa"/>
            <w:vAlign w:val="center"/>
          </w:tcPr>
          <w:p w14:paraId="130F13D9">
            <w:pPr>
              <w:pStyle w:val="184"/>
              <w:rPr>
                <w:highlight w:val="none"/>
              </w:rPr>
            </w:pPr>
            <w:r>
              <w:rPr>
                <w:rFonts w:hint="eastAsia"/>
                <w:highlight w:val="none"/>
              </w:rPr>
              <w:t>≥3840×3552</w:t>
            </w:r>
          </w:p>
        </w:tc>
        <w:tc>
          <w:tcPr>
            <w:tcW w:w="3532" w:type="dxa"/>
            <w:vAlign w:val="center"/>
          </w:tcPr>
          <w:p w14:paraId="44792DEB">
            <w:pPr>
              <w:pStyle w:val="184"/>
              <w:rPr>
                <w:highlight w:val="none"/>
              </w:rPr>
            </w:pPr>
            <w:r>
              <w:rPr>
                <w:rFonts w:hint="eastAsia"/>
                <w:highlight w:val="none"/>
              </w:rPr>
              <w:t>≥2048×2048</w:t>
            </w:r>
          </w:p>
        </w:tc>
      </w:tr>
      <w:tr w14:paraId="2C370E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340" w:hRule="exact"/>
          <w:jc w:val="center"/>
        </w:trPr>
        <w:tc>
          <w:tcPr>
            <w:tcW w:w="699" w:type="dxa"/>
            <w:vAlign w:val="center"/>
          </w:tcPr>
          <w:p w14:paraId="6B9F1D94">
            <w:pPr>
              <w:pStyle w:val="184"/>
            </w:pPr>
            <w:r>
              <w:rPr>
                <w:rFonts w:hint="eastAsia"/>
              </w:rPr>
              <w:t>8</w:t>
            </w:r>
          </w:p>
        </w:tc>
        <w:tc>
          <w:tcPr>
            <w:tcW w:w="1418" w:type="dxa"/>
            <w:vAlign w:val="center"/>
          </w:tcPr>
          <w:p w14:paraId="523EA7AF">
            <w:pPr>
              <w:pStyle w:val="184"/>
              <w:rPr>
                <w:highlight w:val="none"/>
              </w:rPr>
            </w:pPr>
            <w:r>
              <w:rPr>
                <w:rFonts w:hint="eastAsia"/>
                <w:highlight w:val="none"/>
              </w:rPr>
              <w:t>渲染分辨率</w:t>
            </w:r>
          </w:p>
        </w:tc>
        <w:tc>
          <w:tcPr>
            <w:tcW w:w="3685" w:type="dxa"/>
            <w:vAlign w:val="center"/>
          </w:tcPr>
          <w:p w14:paraId="48B3B439">
            <w:pPr>
              <w:pStyle w:val="184"/>
              <w:rPr>
                <w:highlight w:val="none"/>
              </w:rPr>
            </w:pPr>
            <w:r>
              <w:rPr>
                <w:rFonts w:hint="eastAsia"/>
                <w:highlight w:val="none"/>
              </w:rPr>
              <w:t>≥3840×3552</w:t>
            </w:r>
          </w:p>
        </w:tc>
        <w:tc>
          <w:tcPr>
            <w:tcW w:w="3532" w:type="dxa"/>
            <w:vAlign w:val="center"/>
          </w:tcPr>
          <w:p w14:paraId="3115CBC5">
            <w:pPr>
              <w:pStyle w:val="184"/>
              <w:rPr>
                <w:highlight w:val="none"/>
              </w:rPr>
            </w:pPr>
            <w:r>
              <w:rPr>
                <w:rFonts w:hint="eastAsia"/>
                <w:highlight w:val="none"/>
              </w:rPr>
              <w:t>≥2048×2048</w:t>
            </w:r>
          </w:p>
        </w:tc>
      </w:tr>
      <w:tr w14:paraId="171DA4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612" w:hRule="exact"/>
          <w:jc w:val="center"/>
        </w:trPr>
        <w:tc>
          <w:tcPr>
            <w:tcW w:w="699" w:type="dxa"/>
            <w:vAlign w:val="center"/>
          </w:tcPr>
          <w:p w14:paraId="57462818">
            <w:pPr>
              <w:pStyle w:val="184"/>
            </w:pPr>
            <w:r>
              <w:rPr>
                <w:rFonts w:hint="eastAsia"/>
              </w:rPr>
              <w:t>9</w:t>
            </w:r>
          </w:p>
        </w:tc>
        <w:tc>
          <w:tcPr>
            <w:tcW w:w="1418" w:type="dxa"/>
            <w:vAlign w:val="center"/>
          </w:tcPr>
          <w:p w14:paraId="397CFF0E">
            <w:pPr>
              <w:pStyle w:val="184"/>
              <w:rPr>
                <w:rFonts w:hint="eastAsia"/>
                <w:highlight w:val="none"/>
              </w:rPr>
            </w:pPr>
            <w:r>
              <w:rPr>
                <w:rFonts w:hint="eastAsia"/>
                <w:highlight w:val="none"/>
              </w:rPr>
              <w:t>画质</w:t>
            </w:r>
          </w:p>
          <w:p w14:paraId="4CAE6D9B">
            <w:pPr>
              <w:pStyle w:val="184"/>
              <w:rPr>
                <w:rFonts w:hint="eastAsia" w:eastAsia="宋体"/>
                <w:highlight w:val="none"/>
                <w:lang w:eastAsia="zh-CN"/>
              </w:rPr>
            </w:pPr>
            <w:r>
              <w:rPr>
                <w:rFonts w:hint="eastAsia"/>
                <w:highlight w:val="none"/>
                <w:lang w:eastAsia="zh-CN"/>
              </w:rPr>
              <w:t>（</w:t>
            </w:r>
            <w:r>
              <w:rPr>
                <w:rFonts w:hint="eastAsia"/>
                <w:highlight w:val="none"/>
                <w:lang w:val="en-US" w:eastAsia="zh-CN"/>
              </w:rPr>
              <w:t>一体式不适用</w:t>
            </w:r>
            <w:r>
              <w:rPr>
                <w:rFonts w:hint="eastAsia"/>
                <w:highlight w:val="none"/>
                <w:lang w:eastAsia="zh-CN"/>
              </w:rPr>
              <w:t>）</w:t>
            </w:r>
          </w:p>
        </w:tc>
        <w:tc>
          <w:tcPr>
            <w:tcW w:w="3685" w:type="dxa"/>
            <w:vAlign w:val="center"/>
          </w:tcPr>
          <w:p w14:paraId="0B5189DD">
            <w:pPr>
              <w:pStyle w:val="184"/>
              <w:rPr>
                <w:highlight w:val="none"/>
              </w:rPr>
            </w:pPr>
            <w:r>
              <w:rPr>
                <w:rFonts w:hint="eastAsia"/>
                <w:highlight w:val="none"/>
              </w:rPr>
              <w:t>视觉无损画质</w:t>
            </w:r>
          </w:p>
        </w:tc>
        <w:tc>
          <w:tcPr>
            <w:tcW w:w="3532" w:type="dxa"/>
            <w:vAlign w:val="center"/>
          </w:tcPr>
          <w:p w14:paraId="5222AB97">
            <w:pPr>
              <w:pStyle w:val="184"/>
              <w:rPr>
                <w:highlight w:val="none"/>
              </w:rPr>
            </w:pPr>
            <w:r>
              <w:rPr>
                <w:rFonts w:hint="eastAsia"/>
                <w:highlight w:val="none"/>
              </w:rPr>
              <w:t>优质画质</w:t>
            </w:r>
          </w:p>
        </w:tc>
      </w:tr>
      <w:tr w14:paraId="43F8F9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660" w:hRule="exact"/>
          <w:jc w:val="center"/>
        </w:trPr>
        <w:tc>
          <w:tcPr>
            <w:tcW w:w="699" w:type="dxa"/>
            <w:vAlign w:val="center"/>
          </w:tcPr>
          <w:p w14:paraId="673EE095">
            <w:pPr>
              <w:pStyle w:val="184"/>
            </w:pPr>
            <w:r>
              <w:rPr>
                <w:rFonts w:hint="eastAsia"/>
              </w:rPr>
              <w:t>10</w:t>
            </w:r>
          </w:p>
        </w:tc>
        <w:tc>
          <w:tcPr>
            <w:tcW w:w="1418" w:type="dxa"/>
            <w:vAlign w:val="center"/>
          </w:tcPr>
          <w:p w14:paraId="723A9DC6">
            <w:pPr>
              <w:pStyle w:val="184"/>
            </w:pPr>
            <w:r>
              <w:rPr>
                <w:rFonts w:hint="eastAsia"/>
              </w:rPr>
              <w:t>显示刷新率</w:t>
            </w:r>
          </w:p>
        </w:tc>
        <w:tc>
          <w:tcPr>
            <w:tcW w:w="3685" w:type="dxa"/>
            <w:vAlign w:val="center"/>
          </w:tcPr>
          <w:p w14:paraId="4DC3B97A">
            <w:pPr>
              <w:pStyle w:val="184"/>
            </w:pPr>
            <w:r>
              <w:rPr>
                <w:rFonts w:hint="eastAsia"/>
              </w:rPr>
              <w:t>≥90Hz</w:t>
            </w:r>
          </w:p>
          <w:p w14:paraId="68AF6398">
            <w:pPr>
              <w:pStyle w:val="184"/>
            </w:pPr>
            <w:r>
              <w:rPr>
                <w:rFonts w:hint="eastAsia"/>
              </w:rPr>
              <w:t>（单眼显示分辨率不小于3840×3552情况下）</w:t>
            </w:r>
          </w:p>
        </w:tc>
        <w:tc>
          <w:tcPr>
            <w:tcW w:w="3532" w:type="dxa"/>
            <w:vAlign w:val="center"/>
          </w:tcPr>
          <w:p w14:paraId="2B8CBC1A">
            <w:pPr>
              <w:pStyle w:val="184"/>
            </w:pPr>
            <w:r>
              <w:rPr>
                <w:rFonts w:hint="eastAsia"/>
              </w:rPr>
              <w:t>≥72 Hz</w:t>
            </w:r>
          </w:p>
          <w:p w14:paraId="5118EAEA">
            <w:pPr>
              <w:pStyle w:val="184"/>
            </w:pPr>
            <w:r>
              <w:rPr>
                <w:rFonts w:hint="eastAsia"/>
              </w:rPr>
              <w:t>（单眼显示分辨率不小于2048×2048情况下）</w:t>
            </w:r>
          </w:p>
        </w:tc>
      </w:tr>
      <w:tr w14:paraId="5DE21C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340" w:hRule="exact"/>
          <w:jc w:val="center"/>
        </w:trPr>
        <w:tc>
          <w:tcPr>
            <w:tcW w:w="699" w:type="dxa"/>
            <w:vAlign w:val="center"/>
          </w:tcPr>
          <w:p w14:paraId="41779D6D">
            <w:pPr>
              <w:pStyle w:val="184"/>
            </w:pPr>
            <w:r>
              <w:rPr>
                <w:rFonts w:hint="eastAsia"/>
              </w:rPr>
              <w:t>11</w:t>
            </w:r>
          </w:p>
        </w:tc>
        <w:tc>
          <w:tcPr>
            <w:tcW w:w="1418" w:type="dxa"/>
            <w:vAlign w:val="center"/>
          </w:tcPr>
          <w:p w14:paraId="24DF246F">
            <w:pPr>
              <w:pStyle w:val="184"/>
            </w:pPr>
            <w:r>
              <w:rPr>
                <w:rFonts w:hint="eastAsia"/>
              </w:rPr>
              <w:t>亮度对比度</w:t>
            </w:r>
          </w:p>
        </w:tc>
        <w:tc>
          <w:tcPr>
            <w:tcW w:w="7217" w:type="dxa"/>
            <w:gridSpan w:val="2"/>
            <w:vAlign w:val="center"/>
          </w:tcPr>
          <w:p w14:paraId="1F8574E4">
            <w:pPr>
              <w:pStyle w:val="184"/>
            </w:pPr>
            <w:r>
              <w:rPr>
                <w:rFonts w:hint="eastAsia"/>
              </w:rPr>
              <w:t>采用LCD的设备亮度对比度应≥500:1,采用OLED的设备亮度对比度应≥1000:1。</w:t>
            </w:r>
          </w:p>
        </w:tc>
      </w:tr>
      <w:tr w14:paraId="570621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340" w:hRule="exact"/>
          <w:jc w:val="center"/>
        </w:trPr>
        <w:tc>
          <w:tcPr>
            <w:tcW w:w="699" w:type="dxa"/>
            <w:vAlign w:val="center"/>
          </w:tcPr>
          <w:p w14:paraId="46592FA6">
            <w:pPr>
              <w:pStyle w:val="184"/>
            </w:pPr>
            <w:r>
              <w:rPr>
                <w:rFonts w:hint="eastAsia"/>
              </w:rPr>
              <w:t>12</w:t>
            </w:r>
          </w:p>
        </w:tc>
        <w:tc>
          <w:tcPr>
            <w:tcW w:w="1418" w:type="dxa"/>
            <w:vAlign w:val="center"/>
          </w:tcPr>
          <w:p w14:paraId="6685D29D">
            <w:pPr>
              <w:pStyle w:val="184"/>
            </w:pPr>
            <w:r>
              <w:rPr>
                <w:rFonts w:hint="eastAsia"/>
              </w:rPr>
              <w:t>跟踪模式</w:t>
            </w:r>
          </w:p>
        </w:tc>
        <w:tc>
          <w:tcPr>
            <w:tcW w:w="7217" w:type="dxa"/>
            <w:gridSpan w:val="2"/>
            <w:vAlign w:val="center"/>
          </w:tcPr>
          <w:p w14:paraId="36EDACAC">
            <w:pPr>
              <w:pStyle w:val="184"/>
              <w:rPr>
                <w:highlight w:val="none"/>
              </w:rPr>
            </w:pPr>
            <w:r>
              <w:rPr>
                <w:rFonts w:hint="eastAsia"/>
                <w:highlight w:val="none"/>
              </w:rPr>
              <w:t xml:space="preserve">至少支持6 </w:t>
            </w:r>
            <w:r>
              <w:rPr>
                <w:highlight w:val="none"/>
              </w:rPr>
              <w:t>D</w:t>
            </w:r>
            <w:r>
              <w:rPr>
                <w:rFonts w:hint="eastAsia"/>
                <w:highlight w:val="none"/>
              </w:rPr>
              <w:t>o</w:t>
            </w:r>
            <w:r>
              <w:rPr>
                <w:highlight w:val="none"/>
              </w:rPr>
              <w:t>F</w:t>
            </w:r>
          </w:p>
        </w:tc>
      </w:tr>
      <w:tr w14:paraId="55B83E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578" w:hRule="exact"/>
          <w:jc w:val="center"/>
        </w:trPr>
        <w:tc>
          <w:tcPr>
            <w:tcW w:w="699" w:type="dxa"/>
            <w:vAlign w:val="center"/>
          </w:tcPr>
          <w:p w14:paraId="21510420">
            <w:pPr>
              <w:pStyle w:val="184"/>
            </w:pPr>
            <w:r>
              <w:rPr>
                <w:rFonts w:hint="eastAsia"/>
              </w:rPr>
              <w:t>13</w:t>
            </w:r>
          </w:p>
        </w:tc>
        <w:tc>
          <w:tcPr>
            <w:tcW w:w="1418" w:type="dxa"/>
            <w:vAlign w:val="center"/>
          </w:tcPr>
          <w:p w14:paraId="3C1816D8">
            <w:pPr>
              <w:pStyle w:val="184"/>
            </w:pPr>
            <w:r>
              <w:rPr>
                <w:rFonts w:hint="eastAsia"/>
              </w:rPr>
              <w:t>移动跟踪误差</w:t>
            </w:r>
          </w:p>
        </w:tc>
        <w:tc>
          <w:tcPr>
            <w:tcW w:w="3685" w:type="dxa"/>
            <w:vAlign w:val="center"/>
          </w:tcPr>
          <w:p w14:paraId="0331206F">
            <w:pPr>
              <w:pStyle w:val="184"/>
              <w:rPr>
                <w:highlight w:val="none"/>
              </w:rPr>
            </w:pPr>
            <w:r>
              <w:rPr>
                <w:rFonts w:hint="eastAsia"/>
                <w:highlight w:val="none"/>
              </w:rPr>
              <w:t xml:space="preserve">≤5 </w:t>
            </w:r>
            <w:r>
              <w:rPr>
                <w:highlight w:val="none"/>
              </w:rPr>
              <w:t>mm</w:t>
            </w:r>
          </w:p>
          <w:p w14:paraId="0EB5EC23">
            <w:pPr>
              <w:pStyle w:val="184"/>
              <w:rPr>
                <w:highlight w:val="none"/>
              </w:rPr>
            </w:pPr>
            <w:r>
              <w:rPr>
                <w:rFonts w:hint="eastAsia"/>
                <w:highlight w:val="none"/>
              </w:rPr>
              <w:t xml:space="preserve">（每移动100 </w:t>
            </w:r>
            <w:r>
              <w:rPr>
                <w:highlight w:val="none"/>
              </w:rPr>
              <w:t>mm</w:t>
            </w:r>
            <w:r>
              <w:rPr>
                <w:rFonts w:hint="eastAsia"/>
                <w:highlight w:val="none"/>
              </w:rPr>
              <w:t>）</w:t>
            </w:r>
          </w:p>
        </w:tc>
        <w:tc>
          <w:tcPr>
            <w:tcW w:w="3532" w:type="dxa"/>
            <w:vAlign w:val="center"/>
          </w:tcPr>
          <w:p w14:paraId="7430BBD4">
            <w:pPr>
              <w:pStyle w:val="184"/>
              <w:rPr>
                <w:highlight w:val="none"/>
              </w:rPr>
            </w:pPr>
            <w:r>
              <w:rPr>
                <w:rFonts w:hint="eastAsia"/>
                <w:highlight w:val="none"/>
              </w:rPr>
              <w:t xml:space="preserve">≤8 </w:t>
            </w:r>
            <w:r>
              <w:rPr>
                <w:highlight w:val="none"/>
              </w:rPr>
              <w:t>mm</w:t>
            </w:r>
          </w:p>
          <w:p w14:paraId="0CA29EF1">
            <w:pPr>
              <w:pStyle w:val="184"/>
              <w:rPr>
                <w:highlight w:val="none"/>
              </w:rPr>
            </w:pPr>
            <w:r>
              <w:rPr>
                <w:rFonts w:hint="eastAsia"/>
                <w:highlight w:val="none"/>
              </w:rPr>
              <w:t xml:space="preserve">（每移动100 </w:t>
            </w:r>
            <w:r>
              <w:rPr>
                <w:highlight w:val="none"/>
              </w:rPr>
              <w:t>mm</w:t>
            </w:r>
            <w:r>
              <w:rPr>
                <w:rFonts w:hint="eastAsia"/>
                <w:highlight w:val="none"/>
              </w:rPr>
              <w:t>）</w:t>
            </w:r>
          </w:p>
        </w:tc>
      </w:tr>
      <w:tr w14:paraId="4A2F63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559" w:hRule="exact"/>
          <w:jc w:val="center"/>
        </w:trPr>
        <w:tc>
          <w:tcPr>
            <w:tcW w:w="699" w:type="dxa"/>
            <w:vAlign w:val="center"/>
          </w:tcPr>
          <w:p w14:paraId="184ECBC5">
            <w:pPr>
              <w:pStyle w:val="184"/>
            </w:pPr>
            <w:r>
              <w:rPr>
                <w:rFonts w:hint="eastAsia"/>
              </w:rPr>
              <w:t>14</w:t>
            </w:r>
          </w:p>
        </w:tc>
        <w:tc>
          <w:tcPr>
            <w:tcW w:w="1418" w:type="dxa"/>
            <w:vAlign w:val="center"/>
          </w:tcPr>
          <w:p w14:paraId="21EBF100">
            <w:pPr>
              <w:pStyle w:val="184"/>
            </w:pPr>
            <w:r>
              <w:rPr>
                <w:rFonts w:hint="eastAsia"/>
              </w:rPr>
              <w:t>转动跟踪误差</w:t>
            </w:r>
          </w:p>
        </w:tc>
        <w:tc>
          <w:tcPr>
            <w:tcW w:w="3685" w:type="dxa"/>
            <w:vAlign w:val="center"/>
          </w:tcPr>
          <w:p w14:paraId="73895BD2">
            <w:pPr>
              <w:pStyle w:val="184"/>
            </w:pPr>
            <w:r>
              <w:rPr>
                <w:rFonts w:hint="eastAsia"/>
              </w:rPr>
              <w:t>≤1 °</w:t>
            </w:r>
          </w:p>
          <w:p w14:paraId="77948AC9">
            <w:pPr>
              <w:pStyle w:val="184"/>
            </w:pPr>
            <w:r>
              <w:rPr>
                <w:rFonts w:hint="eastAsia"/>
              </w:rPr>
              <w:t>（每转动10 °）</w:t>
            </w:r>
          </w:p>
        </w:tc>
        <w:tc>
          <w:tcPr>
            <w:tcW w:w="3532" w:type="dxa"/>
            <w:vAlign w:val="center"/>
          </w:tcPr>
          <w:p w14:paraId="189D38D5">
            <w:pPr>
              <w:pStyle w:val="184"/>
            </w:pPr>
            <w:r>
              <w:rPr>
                <w:rFonts w:hint="eastAsia"/>
              </w:rPr>
              <w:t>≤2 °</w:t>
            </w:r>
          </w:p>
          <w:p w14:paraId="629A07F0">
            <w:pPr>
              <w:pStyle w:val="184"/>
            </w:pPr>
            <w:r>
              <w:rPr>
                <w:rFonts w:hint="eastAsia"/>
              </w:rPr>
              <w:t>（每转动10 °）</w:t>
            </w:r>
          </w:p>
        </w:tc>
      </w:tr>
      <w:tr w14:paraId="47B036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340" w:hRule="exact"/>
          <w:jc w:val="center"/>
        </w:trPr>
        <w:tc>
          <w:tcPr>
            <w:tcW w:w="699" w:type="dxa"/>
            <w:vAlign w:val="center"/>
          </w:tcPr>
          <w:p w14:paraId="17125CE6">
            <w:pPr>
              <w:pStyle w:val="184"/>
            </w:pPr>
            <w:r>
              <w:rPr>
                <w:rFonts w:hint="eastAsia"/>
              </w:rPr>
              <w:t>15</w:t>
            </w:r>
          </w:p>
        </w:tc>
        <w:tc>
          <w:tcPr>
            <w:tcW w:w="1418" w:type="dxa"/>
            <w:vAlign w:val="center"/>
          </w:tcPr>
          <w:p w14:paraId="3682941C">
            <w:pPr>
              <w:pStyle w:val="184"/>
            </w:pPr>
            <w:r>
              <w:rPr>
                <w:rFonts w:hint="eastAsia"/>
              </w:rPr>
              <w:t>移动灵敏度</w:t>
            </w:r>
          </w:p>
        </w:tc>
        <w:tc>
          <w:tcPr>
            <w:tcW w:w="3685" w:type="dxa"/>
            <w:vAlign w:val="center"/>
          </w:tcPr>
          <w:p w14:paraId="4A78C49F">
            <w:pPr>
              <w:pStyle w:val="184"/>
            </w:pPr>
            <w:r>
              <w:rPr>
                <w:rFonts w:hint="eastAsia"/>
              </w:rPr>
              <w:t xml:space="preserve">2.0 </w:t>
            </w:r>
            <w:r>
              <w:t>mm</w:t>
            </w:r>
          </w:p>
        </w:tc>
        <w:tc>
          <w:tcPr>
            <w:tcW w:w="3532" w:type="dxa"/>
            <w:vAlign w:val="center"/>
          </w:tcPr>
          <w:p w14:paraId="161BE86C">
            <w:pPr>
              <w:pStyle w:val="184"/>
            </w:pPr>
            <w:r>
              <w:rPr>
                <w:rFonts w:hint="eastAsia"/>
              </w:rPr>
              <w:t xml:space="preserve">5.0 </w:t>
            </w:r>
            <w:r>
              <w:t>mm</w:t>
            </w:r>
          </w:p>
        </w:tc>
      </w:tr>
      <w:tr w14:paraId="293B7E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340" w:hRule="exact"/>
          <w:jc w:val="center"/>
        </w:trPr>
        <w:tc>
          <w:tcPr>
            <w:tcW w:w="699" w:type="dxa"/>
            <w:tcBorders>
              <w:bottom w:val="single" w:color="auto" w:sz="8" w:space="0"/>
            </w:tcBorders>
            <w:vAlign w:val="center"/>
          </w:tcPr>
          <w:p w14:paraId="4E3504D6">
            <w:pPr>
              <w:pStyle w:val="184"/>
            </w:pPr>
            <w:r>
              <w:rPr>
                <w:rFonts w:hint="eastAsia"/>
              </w:rPr>
              <w:t>16</w:t>
            </w:r>
          </w:p>
        </w:tc>
        <w:tc>
          <w:tcPr>
            <w:tcW w:w="1418" w:type="dxa"/>
            <w:tcBorders>
              <w:bottom w:val="single" w:color="auto" w:sz="8" w:space="0"/>
            </w:tcBorders>
            <w:vAlign w:val="center"/>
          </w:tcPr>
          <w:p w14:paraId="6307760F">
            <w:pPr>
              <w:pStyle w:val="184"/>
            </w:pPr>
            <w:r>
              <w:rPr>
                <w:rFonts w:hint="eastAsia"/>
              </w:rPr>
              <w:t>转动灵敏度</w:t>
            </w:r>
          </w:p>
        </w:tc>
        <w:tc>
          <w:tcPr>
            <w:tcW w:w="3685" w:type="dxa"/>
            <w:tcBorders>
              <w:bottom w:val="single" w:color="auto" w:sz="8" w:space="0"/>
            </w:tcBorders>
            <w:vAlign w:val="center"/>
          </w:tcPr>
          <w:p w14:paraId="30490201">
            <w:pPr>
              <w:pStyle w:val="184"/>
            </w:pPr>
            <w:r>
              <w:rPr>
                <w:rFonts w:hint="eastAsia"/>
              </w:rPr>
              <w:t xml:space="preserve">1.0 </w:t>
            </w:r>
            <w:r>
              <w:rPr>
                <w:rFonts w:hAnsi="宋体"/>
              </w:rPr>
              <w:t>°</w:t>
            </w:r>
          </w:p>
        </w:tc>
        <w:tc>
          <w:tcPr>
            <w:tcW w:w="3532" w:type="dxa"/>
            <w:tcBorders>
              <w:bottom w:val="single" w:color="auto" w:sz="8" w:space="0"/>
            </w:tcBorders>
            <w:vAlign w:val="center"/>
          </w:tcPr>
          <w:p w14:paraId="7BDEB10F">
            <w:pPr>
              <w:pStyle w:val="184"/>
            </w:pPr>
            <w:r>
              <w:rPr>
                <w:rFonts w:hint="eastAsia"/>
              </w:rPr>
              <w:t xml:space="preserve">2.0 </w:t>
            </w:r>
            <w:r>
              <w:rPr>
                <w:rFonts w:hAnsi="宋体"/>
              </w:rPr>
              <w:t>°</w:t>
            </w:r>
          </w:p>
        </w:tc>
      </w:tr>
      <w:tr w14:paraId="40FDE4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340" w:hRule="exact"/>
          <w:jc w:val="center"/>
        </w:trPr>
        <w:tc>
          <w:tcPr>
            <w:tcW w:w="699" w:type="dxa"/>
            <w:tcBorders>
              <w:bottom w:val="single" w:color="auto" w:sz="8" w:space="0"/>
            </w:tcBorders>
            <w:vAlign w:val="center"/>
          </w:tcPr>
          <w:p w14:paraId="6A6AAD0A">
            <w:pPr>
              <w:pStyle w:val="184"/>
            </w:pPr>
            <w:r>
              <w:rPr>
                <w:rFonts w:hint="eastAsia"/>
              </w:rPr>
              <w:t>17</w:t>
            </w:r>
          </w:p>
        </w:tc>
        <w:tc>
          <w:tcPr>
            <w:tcW w:w="1418" w:type="dxa"/>
            <w:tcBorders>
              <w:bottom w:val="single" w:color="auto" w:sz="8" w:space="0"/>
            </w:tcBorders>
            <w:vAlign w:val="center"/>
          </w:tcPr>
          <w:p w14:paraId="197D45E2">
            <w:pPr>
              <w:pStyle w:val="184"/>
              <w:rPr>
                <w:highlight w:val="none"/>
              </w:rPr>
            </w:pPr>
            <w:r>
              <w:rPr>
                <w:rFonts w:hint="eastAsia"/>
                <w:highlight w:val="none"/>
              </w:rPr>
              <w:t>头戴部分质量</w:t>
            </w:r>
          </w:p>
        </w:tc>
        <w:tc>
          <w:tcPr>
            <w:tcW w:w="3685" w:type="dxa"/>
            <w:tcBorders>
              <w:bottom w:val="single" w:color="auto" w:sz="8" w:space="0"/>
            </w:tcBorders>
            <w:vAlign w:val="center"/>
          </w:tcPr>
          <w:p w14:paraId="75EE9C21">
            <w:pPr>
              <w:pStyle w:val="184"/>
              <w:rPr>
                <w:highlight w:val="none"/>
              </w:rPr>
            </w:pPr>
            <w:r>
              <w:rPr>
                <w:rFonts w:hint="eastAsia"/>
                <w:highlight w:val="none"/>
              </w:rPr>
              <w:t>≤200 g</w:t>
            </w:r>
          </w:p>
        </w:tc>
        <w:tc>
          <w:tcPr>
            <w:tcW w:w="3532" w:type="dxa"/>
            <w:tcBorders>
              <w:bottom w:val="single" w:color="auto" w:sz="8" w:space="0"/>
            </w:tcBorders>
            <w:vAlign w:val="center"/>
          </w:tcPr>
          <w:p w14:paraId="5DE8A48F">
            <w:pPr>
              <w:pStyle w:val="184"/>
              <w:rPr>
                <w:highlight w:val="none"/>
              </w:rPr>
            </w:pPr>
            <w:r>
              <w:rPr>
                <w:rFonts w:hint="eastAsia"/>
                <w:highlight w:val="none"/>
              </w:rPr>
              <w:t>≤500 g</w:t>
            </w:r>
          </w:p>
        </w:tc>
      </w:tr>
      <w:tr w14:paraId="2E083B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340" w:hRule="exact"/>
          <w:jc w:val="center"/>
        </w:trPr>
        <w:tc>
          <w:tcPr>
            <w:tcW w:w="9334" w:type="dxa"/>
            <w:gridSpan w:val="4"/>
            <w:tcBorders>
              <w:top w:val="single" w:color="auto" w:sz="8" w:space="0"/>
              <w:bottom w:val="single" w:color="auto" w:sz="8" w:space="0"/>
            </w:tcBorders>
            <w:vAlign w:val="center"/>
          </w:tcPr>
          <w:p w14:paraId="6733170D">
            <w:pPr>
              <w:pStyle w:val="185"/>
            </w:pPr>
            <w:r>
              <w:rPr>
                <w:rFonts w:hint="eastAsia"/>
              </w:rPr>
              <w:t>中心点色彩还原A类参考DY/T 9—2025中表1色度坐标值要求，B类</w:t>
            </w:r>
            <w:bookmarkStart w:id="52" w:name="OLE_LINK5"/>
            <w:r>
              <w:rPr>
                <w:rFonts w:hint="eastAsia"/>
              </w:rPr>
              <w:t>参考GY/T 155—2000</w:t>
            </w:r>
            <w:bookmarkEnd w:id="52"/>
            <w:r>
              <w:rPr>
                <w:rFonts w:hint="eastAsia"/>
              </w:rPr>
              <w:t>中表1色坐标要求</w:t>
            </w:r>
          </w:p>
        </w:tc>
      </w:tr>
    </w:tbl>
    <w:p w14:paraId="0CEAAE12">
      <w:pPr>
        <w:pStyle w:val="62"/>
        <w:ind w:firstLine="0" w:firstLineChars="0"/>
      </w:pPr>
    </w:p>
    <w:p w14:paraId="22249B6B">
      <w:pPr>
        <w:pStyle w:val="111"/>
        <w:spacing w:before="120" w:after="120"/>
      </w:pPr>
      <w:bookmarkStart w:id="53" w:name="_Toc14789"/>
      <w:r>
        <w:rPr>
          <w:rFonts w:hint="eastAsia"/>
        </w:rPr>
        <w:t>接口要求</w:t>
      </w:r>
      <w:bookmarkEnd w:id="53"/>
    </w:p>
    <w:p w14:paraId="716B1828">
      <w:pPr>
        <w:pStyle w:val="71"/>
        <w:spacing w:before="120" w:after="120"/>
      </w:pPr>
      <w:bookmarkStart w:id="54" w:name="_Toc6445"/>
      <w:r>
        <w:rPr>
          <w:rFonts w:hint="eastAsia"/>
        </w:rPr>
        <w:t>数据传输接口</w:t>
      </w:r>
      <w:bookmarkEnd w:id="54"/>
    </w:p>
    <w:p w14:paraId="348AB0E4">
      <w:pPr>
        <w:pStyle w:val="62"/>
        <w:ind w:firstLine="420"/>
      </w:pPr>
      <w:r>
        <w:rPr>
          <w:rFonts w:hint="eastAsia"/>
        </w:rPr>
        <w:t>应具备外部数据输入接口，接口类型应至少为SD卡、TF卡、USB</w:t>
      </w:r>
      <w:r>
        <w:t xml:space="preserve"> </w:t>
      </w:r>
      <w:r>
        <w:rPr>
          <w:rFonts w:hint="eastAsia"/>
        </w:rPr>
        <w:t>Type</w:t>
      </w:r>
      <w:r>
        <w:t>-</w:t>
      </w:r>
      <w:r>
        <w:rPr>
          <w:rFonts w:hint="eastAsia"/>
        </w:rPr>
        <w:t>C和USB</w:t>
      </w:r>
      <w:r>
        <w:t xml:space="preserve"> </w:t>
      </w:r>
      <w:r>
        <w:rPr>
          <w:rFonts w:hint="eastAsia"/>
        </w:rPr>
        <w:t>Type</w:t>
      </w:r>
      <w:r>
        <w:t>-</w:t>
      </w:r>
      <w:r>
        <w:rPr>
          <w:rFonts w:hint="eastAsia"/>
        </w:rPr>
        <w:t>A中的一种。</w:t>
      </w:r>
    </w:p>
    <w:p w14:paraId="47B0E622">
      <w:pPr>
        <w:pStyle w:val="71"/>
        <w:spacing w:before="120" w:after="120"/>
      </w:pPr>
      <w:bookmarkStart w:id="55" w:name="_Toc9866"/>
      <w:r>
        <w:rPr>
          <w:rFonts w:hint="eastAsia"/>
        </w:rPr>
        <w:t>网络接口</w:t>
      </w:r>
      <w:bookmarkEnd w:id="55"/>
    </w:p>
    <w:p w14:paraId="68796EE1">
      <w:pPr>
        <w:pStyle w:val="62"/>
        <w:ind w:firstLine="420"/>
      </w:pPr>
      <w:r>
        <w:rPr>
          <w:rFonts w:hint="eastAsia"/>
        </w:rPr>
        <w:t>应符合IEEE 802.11-2020中关于无线网络的相关要求。</w:t>
      </w:r>
    </w:p>
    <w:p w14:paraId="159FA75A">
      <w:pPr>
        <w:pStyle w:val="71"/>
        <w:spacing w:before="120" w:after="120"/>
      </w:pPr>
      <w:bookmarkStart w:id="56" w:name="_Toc19425"/>
      <w:r>
        <w:rPr>
          <w:rFonts w:hint="eastAsia"/>
        </w:rPr>
        <w:t>电源接口</w:t>
      </w:r>
      <w:bookmarkEnd w:id="56"/>
    </w:p>
    <w:p w14:paraId="28E3D39B">
      <w:pPr>
        <w:pStyle w:val="62"/>
        <w:ind w:firstLine="420"/>
        <w:rPr>
          <w:rFonts w:hint="eastAsia" w:hAnsi="黑体"/>
        </w:rPr>
      </w:pPr>
      <w:r>
        <w:rPr>
          <w:rFonts w:hint="eastAsia"/>
        </w:rPr>
        <w:t>应具备电源输入接口，接口类型应至少</w:t>
      </w:r>
      <w:r>
        <w:rPr>
          <w:rFonts w:hint="eastAsia"/>
          <w:highlight w:val="none"/>
        </w:rPr>
        <w:t>为DP、USB</w:t>
      </w:r>
      <w:r>
        <w:rPr>
          <w:highlight w:val="none"/>
        </w:rPr>
        <w:t xml:space="preserve"> </w:t>
      </w:r>
      <w:r>
        <w:rPr>
          <w:rFonts w:hint="eastAsia"/>
          <w:highlight w:val="none"/>
        </w:rPr>
        <w:t>T</w:t>
      </w:r>
      <w:r>
        <w:rPr>
          <w:rFonts w:hint="eastAsia"/>
        </w:rPr>
        <w:t>ype</w:t>
      </w:r>
      <w:r>
        <w:t>-</w:t>
      </w:r>
      <w:r>
        <w:rPr>
          <w:rFonts w:hint="eastAsia"/>
        </w:rPr>
        <w:t>A、USB</w:t>
      </w:r>
      <w:r>
        <w:t xml:space="preserve"> </w:t>
      </w:r>
      <w:r>
        <w:rPr>
          <w:rFonts w:hint="eastAsia"/>
        </w:rPr>
        <w:t>Type</w:t>
      </w:r>
      <w:r>
        <w:t>-</w:t>
      </w:r>
      <w:r>
        <w:rPr>
          <w:rFonts w:hint="eastAsia"/>
        </w:rPr>
        <w:t>C中的一种</w:t>
      </w:r>
      <w:r>
        <w:rPr>
          <w:rFonts w:hint="eastAsia" w:hAnsi="黑体"/>
        </w:rPr>
        <w:t>。</w:t>
      </w:r>
    </w:p>
    <w:p w14:paraId="4739A5B8">
      <w:pPr>
        <w:pStyle w:val="71"/>
        <w:spacing w:before="120" w:after="120"/>
      </w:pPr>
      <w:bookmarkStart w:id="57" w:name="_Toc17158"/>
      <w:r>
        <w:rPr>
          <w:rFonts w:hint="eastAsia"/>
        </w:rPr>
        <w:t>外部视频输入接口</w:t>
      </w:r>
      <w:bookmarkEnd w:id="57"/>
    </w:p>
    <w:p w14:paraId="09975778">
      <w:pPr>
        <w:pStyle w:val="62"/>
        <w:ind w:firstLine="420"/>
        <w:rPr>
          <w:rFonts w:hint="eastAsia" w:hAnsi="黑体"/>
        </w:rPr>
      </w:pPr>
      <w:r>
        <w:rPr>
          <w:rFonts w:hint="eastAsia"/>
        </w:rPr>
        <w:t>应具备</w:t>
      </w:r>
      <w:r>
        <w:rPr>
          <w:rFonts w:hint="eastAsia" w:hAnsi="黑体"/>
        </w:rPr>
        <w:t>外部视频输入接口，接口类型应至少为HDMI、DP、</w:t>
      </w:r>
      <w:r>
        <w:rPr>
          <w:rFonts w:hint="eastAsia"/>
        </w:rPr>
        <w:t>USB</w:t>
      </w:r>
      <w:r>
        <w:t xml:space="preserve"> </w:t>
      </w:r>
      <w:r>
        <w:rPr>
          <w:rFonts w:hint="eastAsia"/>
        </w:rPr>
        <w:t>Type</w:t>
      </w:r>
      <w:r>
        <w:t>-</w:t>
      </w:r>
      <w:r>
        <w:rPr>
          <w:rFonts w:hint="eastAsia"/>
        </w:rPr>
        <w:t xml:space="preserve">C中的一种。 </w:t>
      </w:r>
    </w:p>
    <w:p w14:paraId="0E033EFC">
      <w:pPr>
        <w:pStyle w:val="71"/>
        <w:spacing w:before="120" w:after="120"/>
      </w:pPr>
      <w:bookmarkStart w:id="58" w:name="_Toc31180"/>
      <w:r>
        <w:rPr>
          <w:rFonts w:hint="eastAsia"/>
        </w:rPr>
        <w:t>外部音频输出接口</w:t>
      </w:r>
      <w:bookmarkEnd w:id="58"/>
    </w:p>
    <w:p w14:paraId="2D93F95A">
      <w:pPr>
        <w:pStyle w:val="62"/>
        <w:ind w:firstLine="420"/>
      </w:pPr>
      <w:r>
        <w:rPr>
          <w:rFonts w:hint="eastAsia"/>
        </w:rPr>
        <w:t>应具备外部音频输出接口，接口类型应至少为</w:t>
      </w:r>
      <w:r>
        <w:t>1/8"(3.5mm)TRS</w:t>
      </w:r>
      <w:r>
        <w:rPr>
          <w:rFonts w:hint="eastAsia"/>
        </w:rPr>
        <w:t>、USB</w:t>
      </w:r>
      <w:r>
        <w:t xml:space="preserve"> </w:t>
      </w:r>
      <w:r>
        <w:rPr>
          <w:rFonts w:hint="eastAsia"/>
        </w:rPr>
        <w:t>Type</w:t>
      </w:r>
      <w:r>
        <w:t>-</w:t>
      </w:r>
      <w:r>
        <w:rPr>
          <w:rFonts w:hint="eastAsia"/>
        </w:rPr>
        <w:t>C、AES</w:t>
      </w:r>
      <w:r>
        <w:t>/</w:t>
      </w:r>
      <w:r>
        <w:rPr>
          <w:rFonts w:hint="eastAsia"/>
        </w:rPr>
        <w:t>EBU、AES</w:t>
      </w:r>
      <w:r>
        <w:t>67</w:t>
      </w:r>
      <w:r>
        <w:rPr>
          <w:rFonts w:hint="eastAsia"/>
        </w:rPr>
        <w:t>中的一种。</w:t>
      </w:r>
    </w:p>
    <w:p w14:paraId="20D1C731">
      <w:pPr>
        <w:pStyle w:val="111"/>
        <w:spacing w:before="120" w:after="120"/>
      </w:pPr>
      <w:bookmarkStart w:id="59" w:name="_Toc19400"/>
      <w:r>
        <w:rPr>
          <w:rFonts w:hint="eastAsia"/>
        </w:rPr>
        <w:t>放映安全要求</w:t>
      </w:r>
      <w:bookmarkEnd w:id="59"/>
    </w:p>
    <w:p w14:paraId="2AD35FF2">
      <w:pPr>
        <w:pStyle w:val="71"/>
        <w:spacing w:before="120" w:after="120"/>
      </w:pPr>
      <w:bookmarkStart w:id="60" w:name="_Toc21020"/>
      <w:r>
        <w:rPr>
          <w:rFonts w:hint="eastAsia"/>
        </w:rPr>
        <w:t>数字水印功能</w:t>
      </w:r>
      <w:bookmarkEnd w:id="60"/>
    </w:p>
    <w:p w14:paraId="0A1482C9">
      <w:pPr>
        <w:pStyle w:val="62"/>
        <w:ind w:firstLine="420"/>
        <w:rPr>
          <w:bCs/>
        </w:rPr>
      </w:pPr>
      <w:r>
        <w:rPr>
          <w:rFonts w:hint="eastAsia"/>
        </w:rPr>
        <w:t>应具备数字水印功能，能将水印实时嵌入解密、解码后的节目图像信号中，且非法盗录的节目能够检出嵌入的数字水印</w:t>
      </w:r>
      <w:r>
        <w:rPr>
          <w:rFonts w:hint="eastAsia"/>
          <w:bCs/>
        </w:rPr>
        <w:t>。</w:t>
      </w:r>
    </w:p>
    <w:p w14:paraId="4FEA1184">
      <w:pPr>
        <w:pStyle w:val="71"/>
        <w:spacing w:before="120" w:after="120"/>
      </w:pPr>
      <w:bookmarkStart w:id="61" w:name="_Toc27838"/>
      <w:r>
        <w:rPr>
          <w:rFonts w:hint="eastAsia"/>
        </w:rPr>
        <w:t>图像数据安全</w:t>
      </w:r>
      <w:bookmarkEnd w:id="61"/>
    </w:p>
    <w:p w14:paraId="61AECD24">
      <w:pPr>
        <w:pStyle w:val="62"/>
        <w:ind w:firstLine="420"/>
      </w:pPr>
      <w:r>
        <w:rPr>
          <w:rFonts w:hint="eastAsia"/>
        </w:rPr>
        <w:t>解密、解码后的节目信号不能通过外部音视频接口输出。在播放过程中侵入设备，设备应立即进入锁定状态停止播放，同时将侵入时间和信息记入不可删除、篡改的系统日志。</w:t>
      </w:r>
    </w:p>
    <w:p w14:paraId="0A00D644">
      <w:pPr>
        <w:pStyle w:val="111"/>
        <w:spacing w:before="120" w:after="120"/>
      </w:pPr>
      <w:bookmarkStart w:id="62" w:name="_Toc27820"/>
      <w:r>
        <w:rPr>
          <w:rFonts w:hint="eastAsia"/>
        </w:rPr>
        <w:t>其他要求</w:t>
      </w:r>
      <w:bookmarkEnd w:id="62"/>
    </w:p>
    <w:p w14:paraId="6A4C4D4F">
      <w:pPr>
        <w:pStyle w:val="71"/>
        <w:spacing w:before="120" w:after="120"/>
      </w:pPr>
      <w:bookmarkStart w:id="63" w:name="_Toc13139"/>
      <w:r>
        <w:rPr>
          <w:rFonts w:hint="eastAsia"/>
        </w:rPr>
        <w:t>头戴部分尺寸</w:t>
      </w:r>
      <w:bookmarkEnd w:id="63"/>
    </w:p>
    <w:p w14:paraId="0C3EBB13">
      <w:pPr>
        <w:pStyle w:val="62"/>
        <w:ind w:firstLine="420"/>
      </w:pPr>
      <w:r>
        <w:rPr>
          <w:rFonts w:hint="eastAsia"/>
        </w:rPr>
        <w:t>以双眼连线平行方向为宽度方向，以水平目视方向为厚度方向，以竖直方向为高度方向，应在产品说明书中标明尺寸，宽度方向、厚度方向以及高度方向尺寸与产品说明书标明值误差不超过10%。</w:t>
      </w:r>
    </w:p>
    <w:p w14:paraId="5D9B868A">
      <w:pPr>
        <w:pStyle w:val="71"/>
        <w:spacing w:before="120" w:after="120"/>
      </w:pPr>
      <w:bookmarkStart w:id="64" w:name="_Toc10810"/>
      <w:r>
        <w:rPr>
          <w:rFonts w:hint="eastAsia"/>
        </w:rPr>
        <w:t>菜单功能</w:t>
      </w:r>
      <w:bookmarkEnd w:id="64"/>
    </w:p>
    <w:p w14:paraId="328556A4">
      <w:pPr>
        <w:pStyle w:val="62"/>
        <w:ind w:firstLine="420"/>
      </w:pPr>
      <w:r>
        <w:rPr>
          <w:rFonts w:hint="eastAsia"/>
        </w:rPr>
        <w:t>应支持符合GB 18030—2022的简体中文操作菜单，菜单中的各项设置、调节和显示功能应正常。</w:t>
      </w:r>
    </w:p>
    <w:p w14:paraId="4059AABE">
      <w:pPr>
        <w:pStyle w:val="71"/>
        <w:spacing w:before="120" w:after="120"/>
      </w:pPr>
      <w:bookmarkStart w:id="65" w:name="_Toc19044"/>
      <w:r>
        <w:rPr>
          <w:rFonts w:hint="eastAsia"/>
        </w:rPr>
        <w:t>持续播放时间</w:t>
      </w:r>
      <w:bookmarkEnd w:id="65"/>
    </w:p>
    <w:p w14:paraId="4AF81AB5">
      <w:pPr>
        <w:pStyle w:val="62"/>
        <w:ind w:firstLine="420"/>
      </w:pPr>
      <w:r>
        <w:t>电影</w:t>
      </w:r>
      <w:r>
        <w:rPr>
          <w:rFonts w:hint="eastAsia"/>
        </w:rPr>
        <w:t>播放</w:t>
      </w:r>
      <w:r>
        <w:t>模式下</w:t>
      </w:r>
      <w:r>
        <w:rPr>
          <w:rFonts w:hint="eastAsia"/>
        </w:rPr>
        <w:t>持续播放</w:t>
      </w:r>
      <w:r>
        <w:t>时间应</w:t>
      </w:r>
      <w:r>
        <w:rPr>
          <w:rFonts w:hint="eastAsia"/>
        </w:rPr>
        <w:t>大于等于</w:t>
      </w:r>
      <w:r>
        <w:t>120 min</w:t>
      </w:r>
      <w:r>
        <w:rPr>
          <w:rFonts w:hint="eastAsia"/>
        </w:rPr>
        <w:t>。</w:t>
      </w:r>
    </w:p>
    <w:p w14:paraId="2B2569DF">
      <w:pPr>
        <w:pStyle w:val="71"/>
        <w:spacing w:before="120" w:after="120"/>
      </w:pPr>
      <w:bookmarkStart w:id="66" w:name="_Toc27382"/>
      <w:r>
        <w:rPr>
          <w:rFonts w:hint="eastAsia"/>
        </w:rPr>
        <w:t>外观和结构</w:t>
      </w:r>
      <w:bookmarkEnd w:id="66"/>
    </w:p>
    <w:p w14:paraId="555B5ADD">
      <w:pPr>
        <w:pStyle w:val="62"/>
        <w:ind w:firstLine="420"/>
      </w:pPr>
      <w:r>
        <w:rPr>
          <w:rFonts w:hint="eastAsia"/>
        </w:rPr>
        <w:t>产品表面不应有明显的凹痕、划伤、裂缝、变形等现象，表面涂覆层不应起泡、龟裂和脱落。金属部件不应锈蚀和损伤。</w:t>
      </w:r>
    </w:p>
    <w:p w14:paraId="2CB9BBBC">
      <w:pPr>
        <w:pStyle w:val="62"/>
        <w:ind w:firstLine="420"/>
      </w:pPr>
      <w:r>
        <w:rPr>
          <w:rFonts w:hint="eastAsia"/>
        </w:rPr>
        <w:t>产品的零部件应紧固无松动，可插拔部件应可靠连接，各操作开关和按键应灵活、可靠、方便，锁紧装置不得自行释放。</w:t>
      </w:r>
    </w:p>
    <w:p w14:paraId="6C63E0E7">
      <w:pPr>
        <w:pStyle w:val="62"/>
        <w:ind w:firstLine="420"/>
      </w:pPr>
      <w:r>
        <w:rPr>
          <w:rFonts w:hint="eastAsia"/>
        </w:rPr>
        <w:t>产品表面说明功能的文字、符号和标志应清晰、端正、牢固。</w:t>
      </w:r>
    </w:p>
    <w:p w14:paraId="4EB7F44E">
      <w:pPr>
        <w:pStyle w:val="71"/>
        <w:spacing w:before="120" w:after="120"/>
      </w:pPr>
      <w:bookmarkStart w:id="67" w:name="_Toc5888"/>
      <w:r>
        <w:rPr>
          <w:rFonts w:hint="eastAsia"/>
        </w:rPr>
        <w:t>电源适应能力</w:t>
      </w:r>
      <w:bookmarkEnd w:id="67"/>
    </w:p>
    <w:p w14:paraId="02242DE1">
      <w:pPr>
        <w:pStyle w:val="62"/>
        <w:ind w:firstLine="420"/>
      </w:pPr>
      <w:r>
        <w:rPr>
          <w:rFonts w:hint="eastAsia"/>
        </w:rPr>
        <w:t>对交流供电的产品，应能在220 V±22 V,50 Hz±1 Hz条件下正常工作。</w:t>
      </w:r>
    </w:p>
    <w:p w14:paraId="4100C689">
      <w:pPr>
        <w:pStyle w:val="62"/>
        <w:ind w:firstLine="420"/>
      </w:pPr>
      <w:r>
        <w:rPr>
          <w:rFonts w:hint="eastAsia"/>
        </w:rPr>
        <w:t>对直流供电的产品，应能在直流电压标称值的(100±5)%条件下正常工作，直流电压标称值应在产品说明书中规定。</w:t>
      </w:r>
    </w:p>
    <w:p w14:paraId="55CD5FA5">
      <w:pPr>
        <w:pStyle w:val="62"/>
        <w:ind w:firstLine="420"/>
      </w:pPr>
      <w:r>
        <w:rPr>
          <w:rFonts w:hint="eastAsia"/>
        </w:rPr>
        <w:t>对于电源有特殊要求的单元应由产品说明书规定。</w:t>
      </w:r>
    </w:p>
    <w:p w14:paraId="42DB20AC">
      <w:pPr>
        <w:pStyle w:val="71"/>
        <w:spacing w:before="120" w:after="120"/>
      </w:pPr>
      <w:bookmarkStart w:id="68" w:name="_Toc30414"/>
      <w:r>
        <w:rPr>
          <w:rFonts w:hint="eastAsia"/>
        </w:rPr>
        <w:t>温度适应能力</w:t>
      </w:r>
      <w:bookmarkEnd w:id="68"/>
    </w:p>
    <w:p w14:paraId="6B813741">
      <w:pPr>
        <w:pStyle w:val="62"/>
        <w:ind w:firstLine="420"/>
      </w:pPr>
      <w:r>
        <w:rPr>
          <w:rFonts w:hint="eastAsia"/>
        </w:rPr>
        <w:t>设备在温度为0 ºC～40 ºC的测试环境中能够连续满负荷8 h正常稳定运行。</w:t>
      </w:r>
    </w:p>
    <w:p w14:paraId="5731B179">
      <w:pPr>
        <w:pStyle w:val="110"/>
        <w:spacing w:before="240" w:after="240"/>
      </w:pPr>
      <w:bookmarkStart w:id="69" w:name="_Toc17427"/>
      <w:r>
        <w:rPr>
          <w:rFonts w:hint="eastAsia"/>
        </w:rPr>
        <w:t>测量方法</w:t>
      </w:r>
      <w:bookmarkEnd w:id="69"/>
    </w:p>
    <w:p w14:paraId="28724859">
      <w:pPr>
        <w:pStyle w:val="111"/>
        <w:spacing w:before="120" w:after="120"/>
      </w:pPr>
      <w:bookmarkStart w:id="70" w:name="_Toc3306"/>
      <w:r>
        <w:rPr>
          <w:rFonts w:hint="eastAsia"/>
        </w:rPr>
        <w:t>测量环境</w:t>
      </w:r>
      <w:bookmarkEnd w:id="70"/>
    </w:p>
    <w:p w14:paraId="434E4C8F">
      <w:pPr>
        <w:pStyle w:val="71"/>
        <w:spacing w:before="120" w:after="120"/>
      </w:pPr>
      <w:bookmarkStart w:id="71" w:name="_Toc31842"/>
      <w:r>
        <w:rPr>
          <w:rFonts w:hint="eastAsia"/>
        </w:rPr>
        <w:t>场地</w:t>
      </w:r>
      <w:bookmarkEnd w:id="71"/>
    </w:p>
    <w:p w14:paraId="2DDBD5B4">
      <w:pPr>
        <w:pStyle w:val="62"/>
        <w:ind w:firstLine="420"/>
      </w:pPr>
      <w:r>
        <w:rPr>
          <w:rFonts w:hint="eastAsia"/>
        </w:rPr>
        <w:t>测量场地不应小于12 m（长）×7 m（宽）×4 m（高）。</w:t>
      </w:r>
    </w:p>
    <w:p w14:paraId="65A2265E">
      <w:pPr>
        <w:pStyle w:val="71"/>
        <w:spacing w:before="120" w:after="120"/>
      </w:pPr>
      <w:bookmarkStart w:id="72" w:name="_Toc31793"/>
      <w:r>
        <w:rPr>
          <w:rFonts w:hint="eastAsia"/>
        </w:rPr>
        <w:t>环境光</w:t>
      </w:r>
      <w:bookmarkEnd w:id="72"/>
    </w:p>
    <w:p w14:paraId="18A6C509">
      <w:pPr>
        <w:pStyle w:val="62"/>
        <w:ind w:firstLine="420"/>
        <w:rPr>
          <w:rFonts w:hint="eastAsia" w:hAnsi="宋体"/>
        </w:rPr>
      </w:pPr>
      <w:r>
        <w:rPr>
          <w:rFonts w:hint="eastAsia" w:hAnsi="宋体"/>
        </w:rPr>
        <w:t>关闭或遮蔽所有光源，环境光应不大于0.5 lx。</w:t>
      </w:r>
    </w:p>
    <w:p w14:paraId="50E1986D">
      <w:pPr>
        <w:pStyle w:val="71"/>
        <w:spacing w:before="120" w:after="120"/>
      </w:pPr>
      <w:bookmarkStart w:id="73" w:name="_Toc19853"/>
      <w:r>
        <w:rPr>
          <w:rFonts w:hint="eastAsia"/>
        </w:rPr>
        <w:t>环境温度</w:t>
      </w:r>
      <w:bookmarkEnd w:id="73"/>
    </w:p>
    <w:p w14:paraId="79A1633D">
      <w:pPr>
        <w:pStyle w:val="62"/>
        <w:ind w:firstLine="420"/>
        <w:rPr>
          <w:rFonts w:hint="eastAsia" w:hAnsi="宋体"/>
        </w:rPr>
      </w:pPr>
      <w:r>
        <w:rPr>
          <w:rFonts w:hint="eastAsia" w:hAnsi="宋体"/>
        </w:rPr>
        <w:t>应为16 ℃</w:t>
      </w:r>
      <w:r>
        <w:rPr>
          <w:rFonts w:hAnsi="宋体"/>
        </w:rPr>
        <w:t>～</w:t>
      </w:r>
      <w:r>
        <w:rPr>
          <w:rFonts w:hint="eastAsia" w:hAnsi="宋体"/>
        </w:rPr>
        <w:t>28 ℃。</w:t>
      </w:r>
    </w:p>
    <w:p w14:paraId="3F690C9A">
      <w:pPr>
        <w:pStyle w:val="71"/>
        <w:spacing w:before="120" w:after="120"/>
      </w:pPr>
      <w:bookmarkStart w:id="74" w:name="_Toc29904"/>
      <w:r>
        <w:rPr>
          <w:rFonts w:hint="eastAsia"/>
        </w:rPr>
        <w:t>环境相对湿度</w:t>
      </w:r>
      <w:bookmarkEnd w:id="74"/>
    </w:p>
    <w:p w14:paraId="3C154A16">
      <w:pPr>
        <w:pStyle w:val="62"/>
        <w:ind w:firstLine="420"/>
        <w:rPr>
          <w:rFonts w:hint="eastAsia" w:hAnsi="宋体"/>
        </w:rPr>
      </w:pPr>
      <w:r>
        <w:rPr>
          <w:rFonts w:hint="eastAsia" w:hAnsi="宋体"/>
        </w:rPr>
        <w:t>应为</w:t>
      </w:r>
      <w:r>
        <w:rPr>
          <w:rFonts w:hint="eastAsia"/>
        </w:rPr>
        <w:t>1</w:t>
      </w:r>
      <w:r>
        <w:rPr>
          <w:rFonts w:hint="eastAsia" w:hAnsi="宋体"/>
        </w:rPr>
        <w:t>0%</w:t>
      </w:r>
      <w:r>
        <w:rPr>
          <w:rFonts w:hint="eastAsia"/>
        </w:rPr>
        <w:t xml:space="preserve"> </w:t>
      </w:r>
      <w:r>
        <w:rPr>
          <w:rFonts w:hint="eastAsia" w:hAnsi="宋体"/>
        </w:rPr>
        <w:t>RH～</w:t>
      </w:r>
      <w:r>
        <w:rPr>
          <w:rFonts w:hint="eastAsia"/>
        </w:rPr>
        <w:t>9</w:t>
      </w:r>
      <w:r>
        <w:rPr>
          <w:rFonts w:hint="eastAsia" w:hAnsi="宋体"/>
        </w:rPr>
        <w:t>0%</w:t>
      </w:r>
      <w:r>
        <w:rPr>
          <w:rFonts w:hint="eastAsia"/>
        </w:rPr>
        <w:t xml:space="preserve"> </w:t>
      </w:r>
      <w:r>
        <w:rPr>
          <w:rFonts w:hint="eastAsia" w:hAnsi="宋体"/>
        </w:rPr>
        <w:t>RH。</w:t>
      </w:r>
    </w:p>
    <w:p w14:paraId="17C7F52D">
      <w:pPr>
        <w:pStyle w:val="71"/>
        <w:spacing w:before="120" w:after="120"/>
      </w:pPr>
      <w:bookmarkStart w:id="75" w:name="_Toc17388"/>
      <w:r>
        <w:rPr>
          <w:rFonts w:hint="eastAsia"/>
        </w:rPr>
        <w:t>环境大气压力</w:t>
      </w:r>
      <w:bookmarkEnd w:id="75"/>
    </w:p>
    <w:p w14:paraId="6D158840">
      <w:pPr>
        <w:pStyle w:val="62"/>
        <w:ind w:firstLine="420"/>
      </w:pPr>
      <w:r>
        <w:rPr>
          <w:rFonts w:hint="eastAsia"/>
        </w:rPr>
        <w:t>应为86 kPa</w:t>
      </w:r>
      <w:r>
        <w:rPr>
          <w:rFonts w:hint="eastAsia" w:hAnsi="宋体"/>
        </w:rPr>
        <w:t>～</w:t>
      </w:r>
      <w:r>
        <w:rPr>
          <w:rFonts w:hint="eastAsia"/>
        </w:rPr>
        <w:t>106 kPa。</w:t>
      </w:r>
    </w:p>
    <w:p w14:paraId="6E18F556">
      <w:pPr>
        <w:pStyle w:val="71"/>
        <w:spacing w:before="120" w:after="120"/>
      </w:pPr>
      <w:bookmarkStart w:id="76" w:name="_Toc793"/>
      <w:r>
        <w:rPr>
          <w:rFonts w:hint="eastAsia"/>
        </w:rPr>
        <w:t>交流电源</w:t>
      </w:r>
      <w:bookmarkEnd w:id="76"/>
    </w:p>
    <w:p w14:paraId="4E88C845">
      <w:pPr>
        <w:pStyle w:val="62"/>
        <w:ind w:firstLine="420"/>
      </w:pPr>
      <w:r>
        <w:rPr>
          <w:rFonts w:hint="eastAsia" w:hAnsi="宋体"/>
        </w:rPr>
        <w:t>提供给被测设备的交流电源应为220</w:t>
      </w:r>
      <w:r>
        <w:rPr>
          <w:rFonts w:hint="eastAsia"/>
        </w:rPr>
        <w:t xml:space="preserve"> </w:t>
      </w:r>
      <w:r>
        <w:rPr>
          <w:rFonts w:hint="eastAsia" w:hAnsi="宋体"/>
        </w:rPr>
        <w:t>V±2</w:t>
      </w:r>
      <w:r>
        <w:rPr>
          <w:rFonts w:hint="eastAsia"/>
        </w:rPr>
        <w:t xml:space="preserve">2 </w:t>
      </w:r>
      <w:r>
        <w:rPr>
          <w:rFonts w:hint="eastAsia" w:hAnsi="宋体"/>
        </w:rPr>
        <w:t>V，标称频率为50</w:t>
      </w:r>
      <w:r>
        <w:rPr>
          <w:rFonts w:hint="eastAsia"/>
        </w:rPr>
        <w:t xml:space="preserve"> Hz。</w:t>
      </w:r>
    </w:p>
    <w:p w14:paraId="7077EBC9">
      <w:pPr>
        <w:pStyle w:val="111"/>
        <w:spacing w:before="120" w:after="120"/>
      </w:pPr>
      <w:bookmarkStart w:id="77" w:name="_Toc3713"/>
      <w:r>
        <w:rPr>
          <w:rFonts w:hint="eastAsia"/>
        </w:rPr>
        <w:t>测量信号和测量仪器</w:t>
      </w:r>
      <w:bookmarkEnd w:id="77"/>
    </w:p>
    <w:p w14:paraId="439D6D5D">
      <w:pPr>
        <w:pStyle w:val="71"/>
        <w:spacing w:before="120" w:after="120"/>
      </w:pPr>
      <w:bookmarkStart w:id="78" w:name="_Toc26162"/>
      <w:r>
        <w:rPr>
          <w:rFonts w:hint="eastAsia"/>
        </w:rPr>
        <w:t>分光计</w:t>
      </w:r>
      <w:bookmarkEnd w:id="78"/>
    </w:p>
    <w:p w14:paraId="09795FA1">
      <w:pPr>
        <w:pStyle w:val="62"/>
        <w:ind w:firstLine="420"/>
      </w:pPr>
      <w:r>
        <w:rPr>
          <w:rFonts w:hint="eastAsia"/>
        </w:rPr>
        <w:t xml:space="preserve">分光计应符合以下要求： </w:t>
      </w:r>
    </w:p>
    <w:p w14:paraId="10566AF9">
      <w:pPr>
        <w:pStyle w:val="62"/>
        <w:ind w:firstLine="420"/>
      </w:pPr>
      <w:r>
        <w:rPr>
          <w:rFonts w:hint="eastAsia"/>
        </w:rPr>
        <w:t>——平行光管、望远镜系统物镜焦距≥170 mm，通光口径≥22 mm，视场≥3 °；</w:t>
      </w:r>
    </w:p>
    <w:p w14:paraId="5E5290DF">
      <w:pPr>
        <w:pStyle w:val="62"/>
        <w:ind w:firstLine="420"/>
      </w:pPr>
      <w:r>
        <w:rPr>
          <w:rFonts w:hint="eastAsia"/>
        </w:rPr>
        <w:t>——望远镜系统目镜焦距≥24.3 mm，平行光管与望远镜物镜间的距离≤120 mm；</w:t>
      </w:r>
    </w:p>
    <w:p w14:paraId="208CA09E">
      <w:pPr>
        <w:pStyle w:val="62"/>
        <w:ind w:firstLine="420"/>
      </w:pPr>
      <w:r>
        <w:rPr>
          <w:rFonts w:hint="eastAsia"/>
        </w:rPr>
        <w:t>——狭缝宽度调节范围为0.02 mm</w:t>
      </w:r>
      <w:r>
        <w:rPr>
          <w:rFonts w:hint="eastAsia" w:hAnsi="宋体"/>
        </w:rPr>
        <w:t>～</w:t>
      </w:r>
      <w:r>
        <w:rPr>
          <w:rFonts w:hint="eastAsia"/>
        </w:rPr>
        <w:t>2 mm；</w:t>
      </w:r>
    </w:p>
    <w:p w14:paraId="4DFA8C90">
      <w:pPr>
        <w:pStyle w:val="62"/>
        <w:ind w:firstLine="420"/>
      </w:pPr>
      <w:r>
        <w:rPr>
          <w:rFonts w:hint="eastAsia"/>
        </w:rPr>
        <w:t>——载物台的直径≥φ100 mm，旋转角度为360 °，载物台升降范围≥20 mm；</w:t>
      </w:r>
    </w:p>
    <w:p w14:paraId="1FEF4EE0">
      <w:pPr>
        <w:pStyle w:val="62"/>
        <w:ind w:firstLine="420"/>
      </w:pPr>
      <w:r>
        <w:rPr>
          <w:rFonts w:hint="eastAsia"/>
        </w:rPr>
        <w:t>——刻度圆直径≥φ178 mm，刻度范围为0 °</w:t>
      </w:r>
      <w:r>
        <w:rPr>
          <w:rFonts w:hint="eastAsia" w:hAnsi="宋体"/>
        </w:rPr>
        <w:t>～</w:t>
      </w:r>
      <w:r>
        <w:rPr>
          <w:rFonts w:hint="eastAsia"/>
        </w:rPr>
        <w:t>360 °，刻度格值为0.5°，游标读数示值为1′。</w:t>
      </w:r>
    </w:p>
    <w:p w14:paraId="3AB1A3B1">
      <w:pPr>
        <w:pStyle w:val="71"/>
        <w:spacing w:before="120" w:after="120"/>
      </w:pPr>
      <w:bookmarkStart w:id="79" w:name="_Toc13143"/>
      <w:r>
        <w:rPr>
          <w:rFonts w:hint="eastAsia"/>
        </w:rPr>
        <w:t>成像式亮度计</w:t>
      </w:r>
      <w:bookmarkEnd w:id="79"/>
    </w:p>
    <w:p w14:paraId="4BE19F9B">
      <w:pPr>
        <w:pStyle w:val="62"/>
        <w:ind w:firstLine="420"/>
        <w:rPr>
          <w:sz w:val="24"/>
          <w:szCs w:val="24"/>
        </w:rPr>
      </w:pPr>
      <w:r>
        <w:rPr>
          <w:rFonts w:hint="eastAsia"/>
        </w:rPr>
        <w:t xml:space="preserve">成像式亮度计应符合以下要求： </w:t>
      </w:r>
    </w:p>
    <w:p w14:paraId="29B4E323">
      <w:pPr>
        <w:pStyle w:val="138"/>
        <w:rPr>
          <w:sz w:val="24"/>
          <w:szCs w:val="24"/>
        </w:rPr>
      </w:pPr>
      <w:r>
        <w:rPr>
          <w:rFonts w:hint="eastAsia"/>
        </w:rPr>
        <w:t>测量范围：≥0.0005 cd/m</w:t>
      </w:r>
      <w:r>
        <w:rPr>
          <w:rFonts w:hint="eastAsia"/>
          <w:vertAlign w:val="superscript"/>
        </w:rPr>
        <w:t>2</w:t>
      </w:r>
      <w:r>
        <w:rPr>
          <w:rFonts w:hint="eastAsia"/>
        </w:rPr>
        <w:t>～5,000 cd/m</w:t>
      </w:r>
      <w:r>
        <w:rPr>
          <w:rFonts w:hint="eastAsia"/>
          <w:vertAlign w:val="superscript"/>
        </w:rPr>
        <w:t>2</w:t>
      </w:r>
      <w:r>
        <w:rPr>
          <w:rFonts w:hint="eastAsia"/>
        </w:rPr>
        <w:t xml:space="preserve">； </w:t>
      </w:r>
    </w:p>
    <w:p w14:paraId="1B7A89C9">
      <w:pPr>
        <w:pStyle w:val="138"/>
        <w:rPr>
          <w:sz w:val="24"/>
          <w:szCs w:val="24"/>
        </w:rPr>
      </w:pPr>
      <w:r>
        <w:rPr>
          <w:rFonts w:hint="eastAsia"/>
        </w:rPr>
        <w:t>精度：≤±3%；</w:t>
      </w:r>
    </w:p>
    <w:p w14:paraId="4704B637">
      <w:pPr>
        <w:pStyle w:val="138"/>
        <w:rPr>
          <w:sz w:val="24"/>
          <w:szCs w:val="24"/>
        </w:rPr>
      </w:pPr>
      <w:r>
        <w:rPr>
          <w:rFonts w:hint="eastAsia"/>
        </w:rPr>
        <w:t>像素数：≥6,576×4,384。</w:t>
      </w:r>
    </w:p>
    <w:p w14:paraId="1ACF3FCA">
      <w:pPr>
        <w:pStyle w:val="71"/>
        <w:spacing w:before="120" w:after="120"/>
      </w:pPr>
      <w:bookmarkStart w:id="80" w:name="_Toc18797"/>
      <w:r>
        <w:rPr>
          <w:rFonts w:hint="eastAsia"/>
        </w:rPr>
        <w:t>成像式色度计</w:t>
      </w:r>
      <w:bookmarkEnd w:id="80"/>
    </w:p>
    <w:p w14:paraId="1BCED9C3">
      <w:pPr>
        <w:pStyle w:val="62"/>
        <w:ind w:firstLine="420"/>
        <w:rPr>
          <w:sz w:val="24"/>
          <w:szCs w:val="24"/>
        </w:rPr>
      </w:pPr>
      <w:r>
        <w:rPr>
          <w:rFonts w:hint="eastAsia"/>
        </w:rPr>
        <w:t xml:space="preserve">成像色度计应符合以下要求： </w:t>
      </w:r>
    </w:p>
    <w:p w14:paraId="6984DC36">
      <w:pPr>
        <w:pStyle w:val="138"/>
        <w:rPr>
          <w:sz w:val="24"/>
          <w:szCs w:val="24"/>
        </w:rPr>
      </w:pPr>
      <w:r>
        <w:rPr>
          <w:rFonts w:hint="eastAsia"/>
        </w:rPr>
        <w:t>精度 x，y：≤±0.003；</w:t>
      </w:r>
    </w:p>
    <w:p w14:paraId="290103AC">
      <w:pPr>
        <w:pStyle w:val="138"/>
        <w:rPr>
          <w:sz w:val="24"/>
          <w:szCs w:val="24"/>
        </w:rPr>
      </w:pPr>
      <w:r>
        <w:rPr>
          <w:rFonts w:hint="eastAsia"/>
          <w:szCs w:val="21"/>
        </w:rPr>
        <w:t>像素数：≥6,576×4,384。</w:t>
      </w:r>
    </w:p>
    <w:p w14:paraId="26F6A139">
      <w:pPr>
        <w:pStyle w:val="71"/>
        <w:spacing w:before="120" w:after="120"/>
      </w:pPr>
      <w:bookmarkStart w:id="81" w:name="_Toc24585"/>
      <w:r>
        <w:rPr>
          <w:rFonts w:hint="eastAsia"/>
        </w:rPr>
        <w:t>长度尺</w:t>
      </w:r>
      <w:bookmarkEnd w:id="81"/>
    </w:p>
    <w:p w14:paraId="5E93C2F9">
      <w:pPr>
        <w:pStyle w:val="62"/>
        <w:ind w:firstLine="420"/>
        <w:rPr>
          <w:rFonts w:hint="eastAsia" w:hAnsi="宋体"/>
        </w:rPr>
      </w:pPr>
      <w:r>
        <w:rPr>
          <w:rFonts w:hint="eastAsia" w:hAnsi="宋体"/>
        </w:rPr>
        <w:t>长度尺应符合以下要求：</w:t>
      </w:r>
    </w:p>
    <w:p w14:paraId="65ABBE4B">
      <w:pPr>
        <w:pStyle w:val="138"/>
        <w:rPr>
          <w:sz w:val="24"/>
          <w:szCs w:val="24"/>
        </w:rPr>
      </w:pPr>
      <w:r>
        <w:rPr>
          <w:rFonts w:hint="eastAsia"/>
        </w:rPr>
        <w:t>测量范围不小于5 m；</w:t>
      </w:r>
    </w:p>
    <w:p w14:paraId="08B03C69">
      <w:pPr>
        <w:pStyle w:val="138"/>
        <w:rPr>
          <w:sz w:val="24"/>
          <w:szCs w:val="24"/>
        </w:rPr>
      </w:pPr>
      <w:r>
        <w:rPr>
          <w:rFonts w:hint="eastAsia"/>
          <w:szCs w:val="21"/>
        </w:rPr>
        <w:t>最小刻度为0.001 m。</w:t>
      </w:r>
    </w:p>
    <w:p w14:paraId="6C0A309A">
      <w:pPr>
        <w:pStyle w:val="71"/>
        <w:spacing w:before="120" w:after="120"/>
      </w:pPr>
      <w:bookmarkStart w:id="82" w:name="_Toc23880"/>
      <w:r>
        <w:rPr>
          <w:rFonts w:hint="eastAsia"/>
        </w:rPr>
        <w:t>测量用程控电源</w:t>
      </w:r>
      <w:bookmarkEnd w:id="82"/>
    </w:p>
    <w:p w14:paraId="5DF78771">
      <w:pPr>
        <w:pStyle w:val="62"/>
        <w:ind w:firstLine="420"/>
      </w:pPr>
      <w:r>
        <w:rPr>
          <w:rFonts w:hint="eastAsia" w:hAnsi="宋体"/>
        </w:rPr>
        <w:t>测量用程控电源应符合以下要求：</w:t>
      </w:r>
    </w:p>
    <w:p w14:paraId="7C13F1DC">
      <w:pPr>
        <w:pStyle w:val="138"/>
        <w:rPr>
          <w:sz w:val="24"/>
          <w:szCs w:val="24"/>
        </w:rPr>
      </w:pPr>
      <w:r>
        <w:rPr>
          <w:rFonts w:hint="eastAsia"/>
        </w:rPr>
        <w:t>输出频率可在45.0 Hz～65.0 Hz范围内调节，调节精度至少为0.1 Hz；</w:t>
      </w:r>
    </w:p>
    <w:p w14:paraId="24326FC6">
      <w:pPr>
        <w:pStyle w:val="138"/>
        <w:rPr>
          <w:sz w:val="24"/>
          <w:szCs w:val="24"/>
        </w:rPr>
      </w:pPr>
      <w:r>
        <w:rPr>
          <w:rFonts w:hint="eastAsia"/>
          <w:szCs w:val="21"/>
        </w:rPr>
        <w:t>至少具备220 V、380 V电压量程档，每量程档0%～120%连续可调，调节精度至少为0.1 V；</w:t>
      </w:r>
    </w:p>
    <w:p w14:paraId="3DF6B34E">
      <w:pPr>
        <w:pStyle w:val="138"/>
        <w:rPr>
          <w:szCs w:val="21"/>
        </w:rPr>
      </w:pPr>
      <w:r>
        <w:rPr>
          <w:rFonts w:hint="eastAsia"/>
          <w:szCs w:val="21"/>
        </w:rPr>
        <w:t>至少具备1 A、10 A、50 A电流量程档，每量程档0%～120%连续可调，调节精度至少为0.1 A；</w:t>
      </w:r>
    </w:p>
    <w:p w14:paraId="3C498FE7">
      <w:pPr>
        <w:pStyle w:val="138"/>
        <w:rPr>
          <w:szCs w:val="21"/>
        </w:rPr>
      </w:pPr>
      <w:r>
        <w:rPr>
          <w:rFonts w:hint="eastAsia"/>
          <w:szCs w:val="21"/>
        </w:rPr>
        <w:t>相位角输出0°～359.9°连续可调，调节精度至少为0.1 °。</w:t>
      </w:r>
    </w:p>
    <w:p w14:paraId="6D225F37">
      <w:pPr>
        <w:pStyle w:val="71"/>
        <w:spacing w:before="120" w:after="120"/>
      </w:pPr>
      <w:bookmarkStart w:id="83" w:name="_Toc32579"/>
      <w:r>
        <w:rPr>
          <w:rFonts w:hint="eastAsia"/>
        </w:rPr>
        <w:t>视频信号发生器</w:t>
      </w:r>
      <w:bookmarkEnd w:id="83"/>
    </w:p>
    <w:p w14:paraId="5AABBA10">
      <w:pPr>
        <w:pStyle w:val="62"/>
        <w:ind w:firstLine="420"/>
        <w:rPr>
          <w:rFonts w:hint="eastAsia" w:hAnsi="宋体"/>
        </w:rPr>
      </w:pPr>
      <w:r>
        <w:rPr>
          <w:rFonts w:hint="eastAsia" w:hAnsi="宋体"/>
        </w:rPr>
        <w:t>视频信号发生器应符合以下要求：</w:t>
      </w:r>
    </w:p>
    <w:p w14:paraId="090DE609">
      <w:pPr>
        <w:pStyle w:val="138"/>
      </w:pPr>
      <w:r>
        <w:rPr>
          <w:rFonts w:hint="eastAsia"/>
        </w:rPr>
        <w:t>具备DVI、HDMI、SDI、DP等视频输出接口；</w:t>
      </w:r>
    </w:p>
    <w:p w14:paraId="753EA229">
      <w:pPr>
        <w:pStyle w:val="138"/>
      </w:pPr>
      <w:r>
        <w:rPr>
          <w:rFonts w:hint="eastAsia"/>
        </w:rPr>
        <w:t>支持8 bit、10 bit、12 bit的图像量化深度；</w:t>
      </w:r>
    </w:p>
    <w:p w14:paraId="7EDFF640">
      <w:pPr>
        <w:pStyle w:val="138"/>
      </w:pPr>
      <w:r>
        <w:rPr>
          <w:rFonts w:hint="eastAsia"/>
        </w:rPr>
        <w:t>支持1920×1080、2880×2880、2000×2000，24P、60P的视频格式；</w:t>
      </w:r>
    </w:p>
    <w:p w14:paraId="70F70316">
      <w:pPr>
        <w:pStyle w:val="138"/>
      </w:pPr>
      <w:r>
        <w:rPr>
          <w:rFonts w:hint="eastAsia"/>
        </w:rPr>
        <w:t>支持</w:t>
      </w:r>
      <w:r>
        <w:rPr>
          <w:rFonts w:hint="eastAsia" w:cs="Calibri"/>
        </w:rPr>
        <w:t>RGB</w:t>
      </w:r>
      <w:r>
        <w:rPr>
          <w:rFonts w:hint="eastAsia"/>
        </w:rPr>
        <w:t>、</w:t>
      </w:r>
      <w:r>
        <w:rPr>
          <w:rFonts w:hint="eastAsia" w:cs="Calibri"/>
        </w:rPr>
        <w:t>YUV</w:t>
      </w:r>
      <w:r>
        <w:rPr>
          <w:rFonts w:hint="eastAsia"/>
        </w:rPr>
        <w:t>、</w:t>
      </w:r>
      <w:r>
        <w:rPr>
          <w:rFonts w:hint="eastAsia" w:cs="Calibri"/>
        </w:rPr>
        <w:t>XYZ</w:t>
      </w:r>
      <w:r>
        <w:rPr>
          <w:rFonts w:hint="eastAsia"/>
        </w:rPr>
        <w:t>等色彩编码格式。</w:t>
      </w:r>
    </w:p>
    <w:p w14:paraId="4F3E5D59">
      <w:pPr>
        <w:pStyle w:val="71"/>
        <w:spacing w:before="120" w:after="120"/>
      </w:pPr>
      <w:bookmarkStart w:id="84" w:name="_Toc30040"/>
      <w:r>
        <w:rPr>
          <w:rFonts w:hint="eastAsia"/>
        </w:rPr>
        <w:t>高低温试验箱</w:t>
      </w:r>
      <w:bookmarkEnd w:id="84"/>
    </w:p>
    <w:p w14:paraId="26901100">
      <w:pPr>
        <w:pStyle w:val="62"/>
        <w:ind w:firstLine="420"/>
      </w:pPr>
      <w:r>
        <w:rPr>
          <w:rFonts w:hint="eastAsia"/>
        </w:rPr>
        <w:t>高低温试验箱的温度可调节范围不低于-5</w:t>
      </w:r>
      <w:r>
        <w:rPr>
          <w:rFonts w:hint="eastAsia" w:hAnsi="宋体"/>
        </w:rPr>
        <w:t xml:space="preserve"> ℃</w:t>
      </w:r>
      <w:r>
        <w:rPr>
          <w:rFonts w:hAnsi="宋体"/>
        </w:rPr>
        <w:t>～</w:t>
      </w:r>
      <w:r>
        <w:rPr>
          <w:rFonts w:hint="eastAsia" w:hAnsi="宋体"/>
        </w:rPr>
        <w:t>45 ℃。</w:t>
      </w:r>
    </w:p>
    <w:p w14:paraId="7FE8F587">
      <w:pPr>
        <w:pStyle w:val="71"/>
        <w:spacing w:before="120" w:after="120"/>
      </w:pPr>
      <w:bookmarkStart w:id="85" w:name="_Toc17271"/>
      <w:r>
        <w:rPr>
          <w:rFonts w:hint="eastAsia"/>
        </w:rPr>
        <w:t>全视场边框信号</w:t>
      </w:r>
      <w:bookmarkEnd w:id="85"/>
    </w:p>
    <w:p w14:paraId="272035A7">
      <w:pPr>
        <w:pStyle w:val="62"/>
        <w:ind w:firstLine="420"/>
      </w:pPr>
      <w:r>
        <w:rPr>
          <w:rFonts w:hint="eastAsia"/>
        </w:rPr>
        <w:t>分辨率为被测设备物理显示分辨率的边缘为1像素白色线条的黑色图像。</w:t>
      </w:r>
    </w:p>
    <w:p w14:paraId="19B71A04">
      <w:pPr>
        <w:pStyle w:val="62"/>
        <w:ind w:firstLine="0" w:firstLineChars="0"/>
        <w:jc w:val="center"/>
      </w:pPr>
      <w:r>
        <w:drawing>
          <wp:inline distT="0" distB="0" distL="114300" distR="114300">
            <wp:extent cx="2620010" cy="1715770"/>
            <wp:effectExtent l="0" t="0" r="8890" b="177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2620010" cy="1715770"/>
                    </a:xfrm>
                    <a:prstGeom prst="rect">
                      <a:avLst/>
                    </a:prstGeom>
                    <a:noFill/>
                    <a:ln>
                      <a:noFill/>
                    </a:ln>
                  </pic:spPr>
                </pic:pic>
              </a:graphicData>
            </a:graphic>
          </wp:inline>
        </w:drawing>
      </w:r>
    </w:p>
    <w:p w14:paraId="206DD6D5">
      <w:pPr>
        <w:pStyle w:val="120"/>
        <w:spacing w:before="120" w:after="120"/>
      </w:pPr>
      <w:r>
        <w:rPr>
          <w:rFonts w:hint="eastAsia"/>
        </w:rPr>
        <w:t>全视场边框信号</w:t>
      </w:r>
    </w:p>
    <w:p w14:paraId="30D778E1">
      <w:pPr>
        <w:pStyle w:val="71"/>
        <w:spacing w:before="120" w:after="120"/>
      </w:pPr>
      <w:bookmarkStart w:id="86" w:name="_Toc15028"/>
      <w:r>
        <w:rPr>
          <w:rFonts w:hint="eastAsia"/>
        </w:rPr>
        <w:t>白场、黑场测量信号</w:t>
      </w:r>
      <w:bookmarkEnd w:id="86"/>
    </w:p>
    <w:p w14:paraId="55451EDD">
      <w:pPr>
        <w:pStyle w:val="62"/>
        <w:ind w:firstLine="420"/>
      </w:pPr>
      <w:r>
        <w:rPr>
          <w:rFonts w:hint="eastAsia"/>
        </w:rPr>
        <w:t>测量信号应符合GB/T 26270-2010中5.4的要求。</w:t>
      </w:r>
    </w:p>
    <w:p w14:paraId="57BDD6EE">
      <w:pPr>
        <w:pStyle w:val="71"/>
        <w:spacing w:before="120" w:after="120"/>
      </w:pPr>
      <w:bookmarkStart w:id="87" w:name="_Toc6177"/>
      <w:r>
        <w:rPr>
          <w:rFonts w:hint="eastAsia"/>
        </w:rPr>
        <w:t>红场、绿场、蓝场测量信号</w:t>
      </w:r>
      <w:bookmarkEnd w:id="87"/>
    </w:p>
    <w:p w14:paraId="28EB4FB7">
      <w:pPr>
        <w:pStyle w:val="62"/>
        <w:ind w:firstLine="420"/>
      </w:pPr>
      <w:r>
        <w:rPr>
          <w:rFonts w:hint="eastAsia"/>
        </w:rPr>
        <w:t>测量信号应符合GB/T 26270-2010中5.23的要求。</w:t>
      </w:r>
    </w:p>
    <w:p w14:paraId="665DDE7E">
      <w:pPr>
        <w:pStyle w:val="71"/>
        <w:spacing w:before="120" w:after="120"/>
      </w:pPr>
      <w:bookmarkStart w:id="88" w:name="_Toc16029"/>
      <w:r>
        <w:rPr>
          <w:rFonts w:hint="eastAsia"/>
        </w:rPr>
        <w:t>主视场畸变测量信号</w:t>
      </w:r>
      <w:bookmarkEnd w:id="88"/>
    </w:p>
    <w:p w14:paraId="3A2D7EC3">
      <w:pPr>
        <w:pStyle w:val="62"/>
        <w:ind w:firstLine="420"/>
      </w:pPr>
      <w:r>
        <w:rPr>
          <w:rFonts w:hint="eastAsia"/>
        </w:rPr>
        <w:t>分辨率为被测设备0.3倍显示分辨率的矩形全白图像。</w:t>
      </w:r>
    </w:p>
    <w:p w14:paraId="7E64C365">
      <w:pPr>
        <w:pStyle w:val="111"/>
        <w:spacing w:before="120" w:after="120"/>
      </w:pPr>
      <w:bookmarkStart w:id="89" w:name="_Toc13905"/>
      <w:r>
        <w:rPr>
          <w:rFonts w:hint="eastAsia"/>
        </w:rPr>
        <w:t>测量步骤</w:t>
      </w:r>
      <w:bookmarkEnd w:id="89"/>
    </w:p>
    <w:p w14:paraId="7AA9019C">
      <w:pPr>
        <w:pStyle w:val="71"/>
        <w:spacing w:before="120" w:after="120"/>
      </w:pPr>
      <w:bookmarkStart w:id="90" w:name="_Toc22384"/>
      <w:r>
        <w:rPr>
          <w:rFonts w:hint="eastAsia"/>
        </w:rPr>
        <w:t>视场角测量</w:t>
      </w:r>
      <w:bookmarkEnd w:id="90"/>
    </w:p>
    <w:p w14:paraId="40AFAAB1">
      <w:pPr>
        <w:pStyle w:val="62"/>
        <w:ind w:firstLine="420"/>
        <w:rPr>
          <w:rFonts w:hint="eastAsia" w:hAnsi="宋体"/>
          <w:szCs w:val="21"/>
        </w:rPr>
      </w:pPr>
      <w:r>
        <w:rPr>
          <w:rFonts w:hint="eastAsia" w:hAnsi="宋体"/>
        </w:rPr>
        <w:t>水平视场角测量步骤</w:t>
      </w:r>
      <w:r>
        <w:rPr>
          <w:rFonts w:hint="eastAsia" w:hAnsi="宋体"/>
          <w:szCs w:val="21"/>
        </w:rPr>
        <w:t>如下：</w:t>
      </w:r>
    </w:p>
    <w:p w14:paraId="2E342D3B">
      <w:pPr>
        <w:pStyle w:val="180"/>
      </w:pPr>
      <w:r>
        <w:rPr>
          <w:rFonts w:hint="eastAsia"/>
        </w:rPr>
        <w:t>将被测设备置于分光计载物台上，调整被测设备以保证一个目镜的出瞳中心置于分光计转台中心为准，保证与双眼连线平行方向和分光计转台旋转平面平行，在被测设备中显示全视场边框信号（见图1）。</w:t>
      </w:r>
    </w:p>
    <w:p w14:paraId="22B7FD9D">
      <w:pPr>
        <w:pStyle w:val="180"/>
      </w:pPr>
      <w:r>
        <w:rPr>
          <w:rFonts w:hint="eastAsia"/>
        </w:rPr>
        <w:t>通过安装在分光计的前置镜对准被测设备中可观察到的一侧最大的显示区域边缘,分别记录分光计度盘刻度。左右两侧的度盘刻度差为水平视场角</w:t>
      </w:r>
      <m:oMath>
        <m:sSub>
          <m:sSubPr>
            <m:ctrlPr>
              <w:rPr>
                <w:rFonts w:ascii="Cambria Math" w:hAnsi="Cambria Math"/>
                <w:i/>
                <w:kern w:val="2"/>
                <w:szCs w:val="21"/>
              </w:rPr>
            </m:ctrlPr>
          </m:sSubPr>
          <m:e>
            <m:r>
              <m:rPr/>
              <w:rPr>
                <w:rFonts w:ascii="Cambria Math" w:hAnsi="Cambria Math"/>
              </w:rPr>
              <m:t>θ</m:t>
            </m:r>
            <m:ctrlPr>
              <w:rPr>
                <w:rFonts w:ascii="Cambria Math" w:hAnsi="Cambria Math"/>
                <w:i/>
                <w:kern w:val="2"/>
                <w:szCs w:val="21"/>
              </w:rPr>
            </m:ctrlPr>
          </m:e>
          <m:sub>
            <m:r>
              <m:rPr/>
              <w:rPr>
                <w:rFonts w:ascii="Cambria Math" w:hAnsi="Cambria Math"/>
              </w:rPr>
              <m:t>H</m:t>
            </m:r>
            <m:ctrlPr>
              <w:rPr>
                <w:rFonts w:ascii="Cambria Math" w:hAnsi="Cambria Math"/>
                <w:i/>
                <w:kern w:val="2"/>
                <w:szCs w:val="21"/>
              </w:rPr>
            </m:ctrlPr>
          </m:sub>
        </m:sSub>
      </m:oMath>
      <w:r>
        <w:rPr>
          <w:rFonts w:hint="eastAsia"/>
        </w:rPr>
        <w:t>，即是设备的水平视场角。</w:t>
      </w:r>
    </w:p>
    <w:p w14:paraId="078926F6">
      <w:pPr>
        <w:pStyle w:val="62"/>
        <w:ind w:firstLine="420"/>
      </w:pPr>
      <w:r>
        <w:rPr>
          <w:rFonts w:hint="eastAsia"/>
        </w:rPr>
        <w:t>其中照明灯和照明棱镜为分划板提供照明，可以由其他照明方式替代，目镜可以由图像检测装置替代。测量装置见图</w:t>
      </w:r>
      <w:r>
        <w:t>2</w:t>
      </w:r>
      <w:r>
        <w:rPr>
          <w:rFonts w:hint="eastAsia"/>
        </w:rPr>
        <w:t>。</w:t>
      </w:r>
    </w:p>
    <w:p w14:paraId="33A86450">
      <w:pPr>
        <w:pStyle w:val="62"/>
        <w:ind w:firstLine="420"/>
        <w:jc w:val="center"/>
      </w:pPr>
      <w:r>
        <w:drawing>
          <wp:inline distT="0" distB="0" distL="0" distR="0">
            <wp:extent cx="3611245" cy="2402205"/>
            <wp:effectExtent l="0" t="0" r="8255" b="0"/>
            <wp:docPr id="5933438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34385" name="图片 1"/>
                    <pic:cNvPicPr>
                      <a:picLocks noChangeAspect="1"/>
                    </pic:cNvPicPr>
                  </pic:nvPicPr>
                  <pic:blipFill>
                    <a:blip r:embed="rId16"/>
                    <a:stretch>
                      <a:fillRect/>
                    </a:stretch>
                  </pic:blipFill>
                  <pic:spPr>
                    <a:xfrm>
                      <a:off x="0" y="0"/>
                      <a:ext cx="3622533" cy="2409989"/>
                    </a:xfrm>
                    <a:prstGeom prst="rect">
                      <a:avLst/>
                    </a:prstGeom>
                  </pic:spPr>
                </pic:pic>
              </a:graphicData>
            </a:graphic>
          </wp:inline>
        </w:drawing>
      </w:r>
    </w:p>
    <w:p w14:paraId="5E1D2CB3">
      <w:pPr>
        <w:pStyle w:val="120"/>
        <w:spacing w:before="120" w:after="120"/>
      </w:pPr>
      <w:r>
        <w:rPr>
          <w:rFonts w:hint="eastAsia"/>
        </w:rPr>
        <w:t>视场角测量示意图</w:t>
      </w:r>
    </w:p>
    <w:p w14:paraId="2048AE7D">
      <w:pPr>
        <w:pStyle w:val="62"/>
        <w:ind w:firstLine="420"/>
      </w:pPr>
      <w:r>
        <w:rPr>
          <w:rFonts w:hint="eastAsia"/>
        </w:rPr>
        <w:t>分光计前置镜前需安装狭缝保证细光线成像条件，所使用的前置镜的物镜焦距宜不小于200 mm，目镜放大倍数不小于5倍。</w:t>
      </w:r>
    </w:p>
    <w:p w14:paraId="1F5AB4A0">
      <w:pPr>
        <w:pStyle w:val="185"/>
      </w:pPr>
      <w:r>
        <w:rPr>
          <w:rFonts w:hint="eastAsia"/>
        </w:rPr>
        <w:t>本测量方法参考自GB/T 10987—2009的3.2.1。</w:t>
      </w:r>
    </w:p>
    <w:p w14:paraId="75D00EFA">
      <w:pPr>
        <w:pStyle w:val="71"/>
        <w:spacing w:before="120" w:after="120"/>
      </w:pPr>
      <w:bookmarkStart w:id="91" w:name="_Toc190791361"/>
      <w:bookmarkStart w:id="92" w:name="_Toc15952"/>
      <w:r>
        <w:rPr>
          <w:rFonts w:hint="eastAsia"/>
        </w:rPr>
        <w:t>瞳距范围测量</w:t>
      </w:r>
      <w:bookmarkEnd w:id="91"/>
      <w:bookmarkEnd w:id="92"/>
    </w:p>
    <w:p w14:paraId="49DB7725">
      <w:pPr>
        <w:pStyle w:val="62"/>
        <w:ind w:firstLine="420"/>
      </w:pPr>
      <w:r>
        <w:t>确定</w:t>
      </w:r>
      <w:r>
        <w:rPr>
          <w:rFonts w:hint="eastAsia"/>
        </w:rPr>
        <w:t>被测设备</w:t>
      </w:r>
      <w:r>
        <w:t>两个目镜的光学中心</w:t>
      </w:r>
      <w:r>
        <w:rPr>
          <w:rFonts w:hint="eastAsia"/>
        </w:rPr>
        <w:t>，</w:t>
      </w:r>
      <w:r>
        <w:t>用</w:t>
      </w:r>
      <w:r>
        <w:rPr>
          <w:rFonts w:hint="eastAsia"/>
        </w:rPr>
        <w:t>长度尺</w:t>
      </w:r>
      <w:r>
        <w:t>测量两点之间的距离，该距离为</w:t>
      </w:r>
      <w:r>
        <w:rPr>
          <w:rFonts w:hint="eastAsia"/>
        </w:rPr>
        <w:t>被测设备</w:t>
      </w:r>
      <w:r>
        <w:t>光学系统的双目入射光瞳中心距离</w:t>
      </w:r>
      <m:oMath>
        <m:r>
          <m:rPr/>
          <w:rPr>
            <w:rFonts w:ascii="Cambria Math" w:hAnsi="Cambria Math"/>
            <w:position w:val="1"/>
          </w:rPr>
          <m:t>PD</m:t>
        </m:r>
      </m:oMath>
      <w:r>
        <w:rPr>
          <w:rFonts w:hint="eastAsia" w:ascii="Times New Roman"/>
        </w:rPr>
        <w:t>，</w:t>
      </w:r>
      <w:r>
        <w:t>见图</w:t>
      </w:r>
      <w:r>
        <w:rPr>
          <w:rFonts w:hint="eastAsia"/>
        </w:rPr>
        <w:t>3。</w:t>
      </w:r>
    </w:p>
    <w:p w14:paraId="037696B2">
      <w:pPr>
        <w:pStyle w:val="62"/>
        <w:ind w:firstLine="420"/>
        <w:jc w:val="center"/>
      </w:pPr>
      <w:r>
        <w:drawing>
          <wp:inline distT="0" distB="0" distL="0" distR="0">
            <wp:extent cx="3557270" cy="2036445"/>
            <wp:effectExtent l="0" t="0" r="5080" b="1905"/>
            <wp:docPr id="55469160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691609" name="图片 1"/>
                    <pic:cNvPicPr>
                      <a:picLocks noChangeAspect="1"/>
                    </pic:cNvPicPr>
                  </pic:nvPicPr>
                  <pic:blipFill>
                    <a:blip r:embed="rId17"/>
                    <a:stretch>
                      <a:fillRect/>
                    </a:stretch>
                  </pic:blipFill>
                  <pic:spPr>
                    <a:xfrm>
                      <a:off x="0" y="0"/>
                      <a:ext cx="3561322" cy="2038794"/>
                    </a:xfrm>
                    <a:prstGeom prst="rect">
                      <a:avLst/>
                    </a:prstGeom>
                  </pic:spPr>
                </pic:pic>
              </a:graphicData>
            </a:graphic>
          </wp:inline>
        </w:drawing>
      </w:r>
    </w:p>
    <w:p w14:paraId="777FCC61">
      <w:pPr>
        <w:pStyle w:val="120"/>
        <w:spacing w:before="120" w:after="120"/>
      </w:pPr>
      <w:r>
        <w:rPr>
          <w:rFonts w:hint="eastAsia"/>
        </w:rPr>
        <w:t>瞳距范围测量示意图</w:t>
      </w:r>
    </w:p>
    <w:p w14:paraId="7CD09B66">
      <w:pPr>
        <w:pStyle w:val="62"/>
        <w:ind w:firstLine="420"/>
      </w:pPr>
      <w:r>
        <w:rPr>
          <w:rFonts w:hint="eastAsia"/>
        </w:rPr>
        <w:t>瞳距范围测量步骤</w:t>
      </w:r>
      <w:r>
        <w:rPr>
          <w:rFonts w:hint="eastAsia"/>
          <w:szCs w:val="21"/>
        </w:rPr>
        <w:t>如下：</w:t>
      </w:r>
    </w:p>
    <w:p w14:paraId="69E68320">
      <w:pPr>
        <w:pStyle w:val="180"/>
        <w:numPr>
          <w:ilvl w:val="0"/>
          <w:numId w:val="32"/>
        </w:numPr>
      </w:pPr>
      <w:r>
        <w:rPr>
          <w:rFonts w:hint="eastAsia"/>
        </w:rPr>
        <w:t>将设备的</w:t>
      </w:r>
      <m:oMath>
        <m:r>
          <m:rPr/>
          <w:rPr>
            <w:rFonts w:ascii="Cambria Math" w:hAnsi="Cambria Math"/>
            <w:position w:val="1"/>
          </w:rPr>
          <m:t>PD</m:t>
        </m:r>
      </m:oMath>
      <w:r>
        <w:rPr>
          <w:rFonts w:hint="eastAsia"/>
        </w:rPr>
        <w:t>调至最宽，按照上述双目入射光瞳中心距离定义测量出设备的最宽瞳距。</w:t>
      </w:r>
    </w:p>
    <w:p w14:paraId="4B415231">
      <w:pPr>
        <w:pStyle w:val="180"/>
      </w:pPr>
      <w:r>
        <w:rPr>
          <w:rFonts w:hint="eastAsia"/>
        </w:rPr>
        <w:t>将设备的</w:t>
      </w:r>
      <m:oMath>
        <m:r>
          <m:rPr/>
          <w:rPr>
            <w:rFonts w:ascii="Cambria Math" w:hAnsi="Cambria Math"/>
            <w:position w:val="1"/>
          </w:rPr>
          <m:t>PD</m:t>
        </m:r>
      </m:oMath>
      <w:r>
        <w:rPr>
          <w:rFonts w:hint="eastAsia"/>
        </w:rPr>
        <w:t>调至最窄，测出设备的最窄瞳距。</w:t>
      </w:r>
    </w:p>
    <w:p w14:paraId="23FB0D66">
      <w:pPr>
        <w:pStyle w:val="180"/>
      </w:pPr>
      <w:r>
        <w:rPr>
          <w:rFonts w:hint="eastAsia"/>
        </w:rPr>
        <w:t>按照公式（1）计算设备的光学系统的双目入射光瞳中心距离的物理调节范围</w:t>
      </w:r>
      <m:oMath>
        <m:r>
          <m:rPr/>
          <w:rPr>
            <w:rFonts w:ascii="Cambria Math" w:hAnsi="Cambria Math"/>
            <w:position w:val="1"/>
          </w:rPr>
          <m:t>∆PD</m:t>
        </m:r>
      </m:oMath>
      <w:r>
        <w:rPr>
          <w:rFonts w:hint="eastAsia"/>
        </w:rPr>
        <w:t>；</w:t>
      </w:r>
    </w:p>
    <w:p w14:paraId="713DD599">
      <w:pPr>
        <w:pStyle w:val="119"/>
        <w:rPr>
          <w:rFonts w:hint="eastAsia"/>
        </w:rPr>
      </w:pPr>
      <w:r>
        <w:rPr>
          <w:rFonts w:hint="eastAsia"/>
        </w:rPr>
        <w:tab/>
      </w:r>
      <m:oMath>
        <m:r>
          <m:rPr/>
          <w:rPr>
            <w:rFonts w:ascii="Cambria Math" w:hAnsi="Cambria Math"/>
            <w:position w:val="1"/>
          </w:rPr>
          <m:t>∆PD=</m:t>
        </m:r>
        <m:sSub>
          <m:sSubPr>
            <m:ctrlPr>
              <w:rPr>
                <w:rFonts w:ascii="Cambria Math" w:hAnsi="Cambria Math"/>
                <w:i/>
                <w:kern w:val="0"/>
                <w:position w:val="1"/>
              </w:rPr>
            </m:ctrlPr>
          </m:sSubPr>
          <m:e>
            <m:r>
              <m:rPr/>
              <w:rPr>
                <w:rFonts w:ascii="Cambria Math" w:hAnsi="Cambria Math"/>
                <w:position w:val="1"/>
              </w:rPr>
              <m:t>PD</m:t>
            </m:r>
            <m:ctrlPr>
              <w:rPr>
                <w:rFonts w:ascii="Cambria Math" w:hAnsi="Cambria Math"/>
                <w:i/>
                <w:kern w:val="0"/>
                <w:position w:val="1"/>
              </w:rPr>
            </m:ctrlPr>
          </m:e>
          <m:sub>
            <m:r>
              <m:rPr/>
              <w:rPr>
                <w:rFonts w:ascii="Cambria Math" w:hAnsi="Cambria Math"/>
                <w:position w:val="1"/>
              </w:rPr>
              <m:t>M</m:t>
            </m:r>
            <m:r>
              <m:rPr/>
              <w:rPr>
                <w:rFonts w:hint="eastAsia" w:ascii="Cambria Math" w:hAnsi="Cambria Math"/>
                <w:position w:val="1"/>
              </w:rPr>
              <m:t>ax</m:t>
            </m:r>
            <m:ctrlPr>
              <w:rPr>
                <w:rFonts w:ascii="Cambria Math" w:hAnsi="Cambria Math"/>
                <w:i/>
                <w:kern w:val="0"/>
                <w:position w:val="1"/>
              </w:rPr>
            </m:ctrlPr>
          </m:sub>
        </m:sSub>
        <m:r>
          <m:rPr/>
          <w:rPr>
            <w:rFonts w:ascii="Cambria Math" w:hAnsi="Cambria Math"/>
            <w:position w:val="1"/>
          </w:rPr>
          <m:t>−</m:t>
        </m:r>
        <m:sSub>
          <m:sSubPr>
            <m:ctrlPr>
              <w:rPr>
                <w:rFonts w:ascii="Cambria Math" w:hAnsi="Cambria Math"/>
                <w:i/>
                <w:kern w:val="0"/>
                <w:position w:val="1"/>
              </w:rPr>
            </m:ctrlPr>
          </m:sSubPr>
          <m:e>
            <m:r>
              <m:rPr/>
              <w:rPr>
                <w:rFonts w:ascii="Cambria Math" w:hAnsi="Cambria Math"/>
                <w:position w:val="1"/>
              </w:rPr>
              <m:t>PD</m:t>
            </m:r>
            <m:ctrlPr>
              <w:rPr>
                <w:rFonts w:ascii="Cambria Math" w:hAnsi="Cambria Math"/>
                <w:i/>
                <w:kern w:val="0"/>
                <w:position w:val="1"/>
              </w:rPr>
            </m:ctrlPr>
          </m:e>
          <m:sub>
            <m:r>
              <m:rPr/>
              <w:rPr>
                <w:rFonts w:ascii="Cambria Math" w:hAnsi="Cambria Math"/>
                <w:position w:val="1"/>
              </w:rPr>
              <m:t>M</m:t>
            </m:r>
            <m:r>
              <m:rPr/>
              <w:rPr>
                <w:rFonts w:hint="eastAsia" w:ascii="Cambria Math" w:hAnsi="Cambria Math"/>
                <w:position w:val="1"/>
              </w:rPr>
              <m:t>in</m:t>
            </m:r>
            <m:ctrlPr>
              <w:rPr>
                <w:rFonts w:ascii="Cambria Math" w:hAnsi="Cambria Math"/>
                <w:i/>
                <w:kern w:val="0"/>
                <w:position w:val="1"/>
              </w:rPr>
            </m:ctrlPr>
          </m:sub>
        </m:sSub>
        <m:r>
          <m:rPr/>
          <w:rPr>
            <w:rFonts w:ascii="Cambria Math" w:hAnsi="Cambria Math"/>
          </w:rPr>
          <m:t xml:space="preserve"> </m:t>
        </m:r>
      </m:oMath>
      <w:r>
        <w:rPr>
          <w:rFonts w:hint="eastAsia" w:ascii="微软雅黑" w:hAnsi="微软雅黑" w:eastAsia="微软雅黑"/>
        </w:rPr>
        <w:tab/>
      </w:r>
      <w:r>
        <w:t>(</w:t>
      </w:r>
      <w:r>
        <w:fldChar w:fldCharType="begin"/>
      </w:r>
      <w:r>
        <w:instrText xml:space="preserve"> AUTONUM </w:instrText>
      </w:r>
      <w:r>
        <w:fldChar w:fldCharType="end"/>
      </w:r>
      <w:r>
        <w:t>)</w:t>
      </w:r>
    </w:p>
    <w:p w14:paraId="6C383CB9">
      <w:pPr>
        <w:pStyle w:val="61"/>
        <w:ind w:firstLine="420"/>
      </w:pPr>
      <w:r>
        <w:rPr>
          <w:rFonts w:hint="eastAsia"/>
        </w:rPr>
        <w:t>式中：</w:t>
      </w:r>
    </w:p>
    <w:p w14:paraId="447E8602">
      <w:pPr>
        <w:pStyle w:val="62"/>
        <w:ind w:firstLine="420"/>
        <w:rPr>
          <w:rFonts w:hint="eastAsia" w:hAnsi="宋体"/>
          <w:szCs w:val="21"/>
        </w:rPr>
      </w:pPr>
      <m:oMath>
        <m:r>
          <m:rPr/>
          <w:rPr>
            <w:rFonts w:ascii="Cambria Math" w:hAnsi="Cambria Math"/>
            <w:position w:val="1"/>
            <w:szCs w:val="21"/>
          </w:rPr>
          <m:t>∆PD</m:t>
        </m:r>
      </m:oMath>
      <w:r>
        <w:rPr>
          <w:rFonts w:hAnsi="宋体"/>
          <w:szCs w:val="21"/>
        </w:rPr>
        <w:t xml:space="preserve"> </w:t>
      </w:r>
      <w:r>
        <w:rPr>
          <w:rFonts w:hint="eastAsia" w:hAnsi="宋体"/>
          <w:szCs w:val="21"/>
        </w:rPr>
        <w:t xml:space="preserve"> </w:t>
      </w:r>
      <w:r>
        <w:rPr>
          <w:rFonts w:hAnsi="宋体"/>
          <w:szCs w:val="21"/>
        </w:rPr>
        <w:t>——</w:t>
      </w:r>
      <w:r>
        <w:rPr>
          <w:rFonts w:hint="eastAsia" w:hAnsi="宋体"/>
          <w:szCs w:val="21"/>
        </w:rPr>
        <w:t>双目入射光瞳中心距离的可调节范围，单位为mm；</w:t>
      </w:r>
      <w:r>
        <w:rPr>
          <w:rFonts w:hAnsi="宋体"/>
          <w:szCs w:val="21"/>
        </w:rPr>
        <w:t xml:space="preserve"> </w:t>
      </w:r>
    </w:p>
    <w:p w14:paraId="44E7DDDB">
      <w:pPr>
        <w:pStyle w:val="62"/>
        <w:ind w:firstLine="420"/>
        <w:rPr>
          <w:rFonts w:hint="eastAsia" w:hAnsi="宋体"/>
          <w:szCs w:val="21"/>
        </w:rPr>
      </w:pPr>
      <m:oMath>
        <m:sSub>
          <m:sSubPr>
            <m:ctrlPr>
              <w:rPr>
                <w:rFonts w:ascii="Cambria Math" w:hAnsi="Cambria Math"/>
                <w:i/>
                <w:position w:val="1"/>
                <w:szCs w:val="21"/>
              </w:rPr>
            </m:ctrlPr>
          </m:sSubPr>
          <m:e>
            <m:r>
              <m:rPr/>
              <w:rPr>
                <w:rFonts w:ascii="Cambria Math" w:hAnsi="Cambria Math"/>
                <w:position w:val="1"/>
                <w:szCs w:val="21"/>
              </w:rPr>
              <m:t>PD</m:t>
            </m:r>
            <m:ctrlPr>
              <w:rPr>
                <w:rFonts w:ascii="Cambria Math" w:hAnsi="Cambria Math"/>
                <w:i/>
                <w:position w:val="1"/>
                <w:szCs w:val="21"/>
              </w:rPr>
            </m:ctrlPr>
          </m:e>
          <m:sub>
            <m:r>
              <m:rPr/>
              <w:rPr>
                <w:rFonts w:ascii="Cambria Math" w:hAnsi="Cambria Math"/>
                <w:position w:val="1"/>
                <w:szCs w:val="21"/>
              </w:rPr>
              <m:t>M</m:t>
            </m:r>
            <m:r>
              <m:rPr/>
              <w:rPr>
                <w:rFonts w:hint="eastAsia" w:ascii="Cambria Math" w:hAnsi="Cambria Math"/>
                <w:position w:val="1"/>
                <w:szCs w:val="21"/>
              </w:rPr>
              <m:t>ax</m:t>
            </m:r>
            <m:ctrlPr>
              <w:rPr>
                <w:rFonts w:ascii="Cambria Math" w:hAnsi="Cambria Math"/>
                <w:i/>
                <w:position w:val="1"/>
                <w:szCs w:val="21"/>
              </w:rPr>
            </m:ctrlPr>
          </m:sub>
        </m:sSub>
      </m:oMath>
      <w:r>
        <w:rPr>
          <w:rFonts w:hAnsi="宋体"/>
          <w:szCs w:val="21"/>
        </w:rPr>
        <w:t>——</w:t>
      </w:r>
      <w:r>
        <w:rPr>
          <w:rFonts w:hint="eastAsia" w:hAnsi="宋体"/>
          <w:szCs w:val="21"/>
        </w:rPr>
        <w:t>设备最宽瞳距，单位为mm；</w:t>
      </w:r>
    </w:p>
    <w:p w14:paraId="0E370051">
      <w:pPr>
        <w:pStyle w:val="62"/>
        <w:ind w:firstLine="420"/>
        <w:rPr>
          <w:rFonts w:hint="eastAsia" w:hAnsi="宋体"/>
        </w:rPr>
      </w:pPr>
      <m:oMath>
        <m:sSub>
          <m:sSubPr>
            <m:ctrlPr>
              <w:rPr>
                <w:rFonts w:ascii="Cambria Math" w:hAnsi="Cambria Math"/>
                <w:i/>
                <w:position w:val="1"/>
                <w:szCs w:val="21"/>
              </w:rPr>
            </m:ctrlPr>
          </m:sSubPr>
          <m:e>
            <m:r>
              <m:rPr/>
              <w:rPr>
                <w:rFonts w:ascii="Cambria Math" w:hAnsi="Cambria Math"/>
                <w:position w:val="1"/>
                <w:szCs w:val="21"/>
              </w:rPr>
              <m:t>PD</m:t>
            </m:r>
            <m:ctrlPr>
              <w:rPr>
                <w:rFonts w:ascii="Cambria Math" w:hAnsi="Cambria Math"/>
                <w:i/>
                <w:position w:val="1"/>
                <w:szCs w:val="21"/>
              </w:rPr>
            </m:ctrlPr>
          </m:e>
          <m:sub>
            <m:r>
              <m:rPr/>
              <w:rPr>
                <w:rFonts w:ascii="Cambria Math" w:hAnsi="Cambria Math"/>
                <w:position w:val="1"/>
                <w:szCs w:val="21"/>
              </w:rPr>
              <m:t>M</m:t>
            </m:r>
            <m:r>
              <m:rPr/>
              <w:rPr>
                <w:rFonts w:hint="eastAsia" w:ascii="Cambria Math" w:hAnsi="Cambria Math"/>
                <w:position w:val="1"/>
                <w:szCs w:val="21"/>
              </w:rPr>
              <m:t>in</m:t>
            </m:r>
            <m:ctrlPr>
              <w:rPr>
                <w:rFonts w:ascii="Cambria Math" w:hAnsi="Cambria Math"/>
                <w:i/>
                <w:position w:val="1"/>
                <w:szCs w:val="21"/>
              </w:rPr>
            </m:ctrlPr>
          </m:sub>
        </m:sSub>
      </m:oMath>
      <w:r>
        <w:rPr>
          <w:rFonts w:hAnsi="宋体"/>
          <w:szCs w:val="21"/>
        </w:rPr>
        <w:t>——设备</w:t>
      </w:r>
      <w:r>
        <w:rPr>
          <w:rFonts w:hint="eastAsia" w:hAnsi="宋体"/>
          <w:szCs w:val="21"/>
        </w:rPr>
        <w:t>最</w:t>
      </w:r>
      <w:r>
        <w:rPr>
          <w:rFonts w:hAnsi="宋体"/>
          <w:szCs w:val="21"/>
        </w:rPr>
        <w:t>窄瞳距，单位为</w:t>
      </w:r>
      <w:r>
        <w:rPr>
          <w:rFonts w:hint="eastAsia" w:hAnsi="宋体"/>
          <w:szCs w:val="21"/>
        </w:rPr>
        <w:t>mm。</w:t>
      </w:r>
    </w:p>
    <w:p w14:paraId="6F13CA29">
      <w:pPr>
        <w:pStyle w:val="71"/>
        <w:spacing w:before="120" w:after="120"/>
      </w:pPr>
      <w:bookmarkStart w:id="93" w:name="_Toc16938"/>
      <w:r>
        <w:rPr>
          <w:rFonts w:hint="eastAsia"/>
        </w:rPr>
        <w:t>出瞳距离和出瞳直径</w:t>
      </w:r>
      <w:bookmarkEnd w:id="93"/>
    </w:p>
    <w:p w14:paraId="653F8393">
      <w:pPr>
        <w:pStyle w:val="62"/>
        <w:ind w:firstLine="420"/>
        <w:rPr>
          <w:rFonts w:hint="eastAsia" w:hAnsi="宋体"/>
        </w:rPr>
      </w:pPr>
      <w:r>
        <w:rPr>
          <w:rFonts w:hint="eastAsia" w:hAnsi="宋体"/>
        </w:rPr>
        <w:t>出瞳直径和出瞳距离为相关测量，表示为出瞳距离为L条件下，出瞳直径为</w:t>
      </w:r>
      <m:oMath>
        <m:r>
          <m:rPr/>
          <w:rPr>
            <w:rFonts w:ascii="Cambria Math" w:hAnsi="Cambria Math"/>
          </w:rPr>
          <m:t>D</m:t>
        </m:r>
      </m:oMath>
      <w:r>
        <w:rPr>
          <w:rFonts w:hint="eastAsia" w:hAnsi="宋体"/>
        </w:rPr>
        <w:t>。出瞳距离按照产品说明书的标示，如果产品说明书没有标示出瞳距离，按照出瞳距离为10 mm计算出瞳直径。</w:t>
      </w:r>
    </w:p>
    <w:p w14:paraId="50A781D5">
      <w:pPr>
        <w:pStyle w:val="62"/>
        <w:ind w:firstLine="420"/>
        <w:rPr>
          <w:rFonts w:hint="eastAsia" w:hAnsi="宋体"/>
        </w:rPr>
      </w:pPr>
      <w:r>
        <w:drawing>
          <wp:anchor distT="0" distB="0" distL="114300" distR="114300" simplePos="0" relativeHeight="251661312" behindDoc="1" locked="0" layoutInCell="1" allowOverlap="1">
            <wp:simplePos x="0" y="0"/>
            <wp:positionH relativeFrom="column">
              <wp:posOffset>1545590</wp:posOffset>
            </wp:positionH>
            <wp:positionV relativeFrom="paragraph">
              <wp:posOffset>581660</wp:posOffset>
            </wp:positionV>
            <wp:extent cx="3057525" cy="2425065"/>
            <wp:effectExtent l="0" t="0" r="9525" b="0"/>
            <wp:wrapTopAndBottom/>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3057525" cy="2425065"/>
                    </a:xfrm>
                    <a:prstGeom prst="rect">
                      <a:avLst/>
                    </a:prstGeom>
                  </pic:spPr>
                </pic:pic>
              </a:graphicData>
            </a:graphic>
          </wp:anchor>
        </w:drawing>
      </w:r>
      <w:r>
        <w:rPr>
          <w:rFonts w:hint="eastAsia" w:hAnsi="宋体"/>
        </w:rPr>
        <w:t xml:space="preserve">搭建针孔相机（孔径小于或等于1 </w:t>
      </w:r>
      <w:r>
        <w:rPr>
          <w:rFonts w:hAnsi="宋体"/>
        </w:rPr>
        <w:t>mm</w:t>
      </w:r>
      <w:r>
        <w:rPr>
          <w:rFonts w:hint="eastAsia" w:hAnsi="宋体"/>
        </w:rPr>
        <w:t>）和以针孔相机入瞳中心为原点的六轴调整机构组成的专用设备，将针孔相机的图像显示在图像显示设备上以便观看。专用设备可以用于调整针孔相机的位移，并且可以绕针孔相机的入瞳中心进行三维方向旋转。测量装置示意图见图4。</w:t>
      </w:r>
    </w:p>
    <w:p w14:paraId="452CA3A4">
      <w:pPr>
        <w:pStyle w:val="120"/>
        <w:spacing w:before="120" w:after="120"/>
        <w:rPr>
          <w:szCs w:val="21"/>
        </w:rPr>
      </w:pPr>
      <w:r>
        <w:rPr>
          <w:rFonts w:hint="eastAsia"/>
        </w:rPr>
        <w:t>出瞳直径和出瞳距离测量示意图</w:t>
      </w:r>
    </w:p>
    <w:p w14:paraId="5C8EAD8F">
      <w:pPr>
        <w:pStyle w:val="14"/>
        <w:spacing w:before="244"/>
        <w:ind w:left="419"/>
        <w:rPr>
          <w:rFonts w:hint="eastAsia" w:ascii="宋体" w:hAnsi="宋体"/>
        </w:rPr>
      </w:pPr>
      <w:r>
        <w:rPr>
          <w:rFonts w:hint="eastAsia"/>
        </w:rPr>
        <w:t>出瞳距离和出瞳直径测量步骤如下：</w:t>
      </w:r>
    </w:p>
    <w:p w14:paraId="68A51EC3">
      <w:pPr>
        <w:pStyle w:val="180"/>
        <w:numPr>
          <w:ilvl w:val="0"/>
          <w:numId w:val="33"/>
        </w:numPr>
        <w:rPr>
          <w:rFonts w:hint="eastAsia" w:hAnsi="宋体"/>
          <w:szCs w:val="21"/>
        </w:rPr>
      </w:pPr>
      <w:r>
        <w:rPr>
          <w:rFonts w:hint="eastAsia" w:hAnsi="宋体"/>
        </w:rPr>
        <w:t>初始化设备，</w:t>
      </w:r>
      <w:r>
        <w:rPr>
          <w:rFonts w:hAnsi="宋体"/>
        </w:rPr>
        <w:t>按照设备自身的视场，显示全视场边框</w:t>
      </w:r>
      <w:r>
        <w:rPr>
          <w:rFonts w:hint="eastAsia" w:hAnsi="宋体"/>
        </w:rPr>
        <w:t>信号，</w:t>
      </w:r>
      <w:r>
        <w:rPr>
          <w:rFonts w:hAnsi="宋体"/>
        </w:rPr>
        <w:t>如图</w:t>
      </w:r>
      <w:r>
        <w:rPr>
          <w:rFonts w:hint="eastAsia" w:hAnsi="宋体"/>
        </w:rPr>
        <w:t>1</w:t>
      </w:r>
      <w:r>
        <w:rPr>
          <w:rFonts w:hAnsi="宋体"/>
        </w:rPr>
        <w:t>所示</w:t>
      </w:r>
      <w:r>
        <w:rPr>
          <w:rFonts w:hint="eastAsia" w:hAnsi="宋体"/>
        </w:rPr>
        <w:t>。放置针孔相机于距离镜片表面</w:t>
      </w:r>
      <w:r>
        <w:rPr>
          <w:rFonts w:hAnsi="宋体"/>
          <w:i/>
          <w:iCs/>
        </w:rPr>
        <w:t>L</w:t>
      </w:r>
      <w:r>
        <w:rPr>
          <w:rFonts w:hint="eastAsia" w:hAnsi="宋体"/>
        </w:rPr>
        <w:t>处。</w:t>
      </w:r>
    </w:p>
    <w:p w14:paraId="219A1A8C">
      <w:pPr>
        <w:pStyle w:val="180"/>
        <w:rPr>
          <w:rFonts w:hint="eastAsia" w:hAnsi="宋体"/>
          <w:szCs w:val="21"/>
        </w:rPr>
      </w:pPr>
      <w:r>
        <w:rPr>
          <w:rFonts w:hint="eastAsia" w:hAnsi="宋体"/>
          <w:szCs w:val="21"/>
        </w:rPr>
        <w:t>人眼可以观察到全部视场的三维区域为眼瞳箱，调整针孔相机使其沿双眼连线平行方向移动，通过专用设备三维方向的旋转可以通过图像显示设备看到全视场图像，在该方向上两点</w:t>
      </w:r>
      <w:r>
        <w:rPr>
          <w:rFonts w:hAnsi="宋体"/>
          <w:szCs w:val="21"/>
        </w:rPr>
        <w:t xml:space="preserve">AB </w:t>
      </w:r>
      <w:r>
        <w:rPr>
          <w:rFonts w:hint="eastAsia" w:hAnsi="宋体"/>
          <w:szCs w:val="21"/>
        </w:rPr>
        <w:t>形成的线段上的点都可以看到全视场，线段</w:t>
      </w:r>
      <w:r>
        <w:rPr>
          <w:rFonts w:hAnsi="宋体"/>
          <w:szCs w:val="21"/>
        </w:rPr>
        <w:t>AB</w:t>
      </w:r>
      <w:r>
        <w:rPr>
          <w:rFonts w:hint="eastAsia" w:hAnsi="宋体"/>
          <w:szCs w:val="21"/>
        </w:rPr>
        <w:t>外的点都看不全整个视场，则线段</w:t>
      </w:r>
      <w:r>
        <w:rPr>
          <w:rFonts w:hAnsi="宋体"/>
          <w:szCs w:val="21"/>
        </w:rPr>
        <w:t>AB</w:t>
      </w:r>
      <w:r>
        <w:rPr>
          <w:rFonts w:hint="eastAsia" w:hAnsi="宋体"/>
          <w:szCs w:val="21"/>
        </w:rPr>
        <w:t>的长度为</w:t>
      </w:r>
      <w:r>
        <w:rPr>
          <w:rFonts w:hint="eastAsia"/>
        </w:rPr>
        <w:t>被测设备</w:t>
      </w:r>
      <w:r>
        <w:rPr>
          <w:rFonts w:hint="eastAsia" w:hAnsi="宋体"/>
          <w:szCs w:val="21"/>
        </w:rPr>
        <w:t>在该方向上的眼瞳箱长度</w:t>
      </w:r>
      <m:oMath>
        <m:sSub>
          <m:sSubPr>
            <m:ctrlPr>
              <w:rPr>
                <w:rFonts w:ascii="Cambria Math" w:hAnsi="Cambria Math"/>
                <w:i/>
              </w:rPr>
            </m:ctrlPr>
          </m:sSubPr>
          <m:e>
            <m:r>
              <m:rPr/>
              <w:rPr>
                <w:rFonts w:ascii="Cambria Math" w:hAnsi="Cambria Math"/>
              </w:rPr>
              <m:t>D</m:t>
            </m:r>
            <m:ctrlPr>
              <w:rPr>
                <w:rFonts w:ascii="Cambria Math" w:hAnsi="Cambria Math"/>
                <w:i/>
              </w:rPr>
            </m:ctrlPr>
          </m:e>
          <m:sub>
            <m:r>
              <m:rPr/>
              <w:rPr>
                <w:rFonts w:hint="eastAsia" w:ascii="Cambria Math" w:hAnsi="Cambria Math"/>
              </w:rPr>
              <m:t>x</m:t>
            </m:r>
            <m:ctrlPr>
              <w:rPr>
                <w:rFonts w:ascii="Cambria Math" w:hAnsi="Cambria Math"/>
                <w:i/>
              </w:rPr>
            </m:ctrlPr>
          </m:sub>
        </m:sSub>
      </m:oMath>
      <w:r>
        <w:rPr>
          <w:rFonts w:hint="eastAsia" w:hAnsi="宋体"/>
          <w:szCs w:val="21"/>
        </w:rPr>
        <w:t>；</w:t>
      </w:r>
    </w:p>
    <w:p w14:paraId="2FF9426E">
      <w:pPr>
        <w:pStyle w:val="180"/>
        <w:rPr>
          <w:rFonts w:hint="eastAsia" w:hAnsi="宋体"/>
          <w:szCs w:val="21"/>
        </w:rPr>
      </w:pPr>
      <w:r>
        <w:rPr>
          <w:rFonts w:hint="eastAsia" w:hAnsi="宋体"/>
          <w:szCs w:val="21"/>
        </w:rPr>
        <w:t>调整针孔相机使其沿双眼连线垂直方向移动，重复上述步骤，得到</w:t>
      </w:r>
      <w:r>
        <w:rPr>
          <w:rFonts w:hint="eastAsia"/>
        </w:rPr>
        <w:t>被测设备</w:t>
      </w:r>
      <w:r>
        <w:rPr>
          <w:rFonts w:hint="eastAsia" w:hAnsi="宋体"/>
          <w:szCs w:val="21"/>
        </w:rPr>
        <w:t>在该方向的眼瞳箱长度</w:t>
      </w:r>
      <m:oMath>
        <m:sSub>
          <m:sSubPr>
            <m:ctrlPr>
              <w:rPr>
                <w:rFonts w:ascii="Cambria Math" w:hAnsi="Cambria Math"/>
                <w:i/>
              </w:rPr>
            </m:ctrlPr>
          </m:sSubPr>
          <m:e>
            <m:r>
              <m:rPr/>
              <w:rPr>
                <w:rFonts w:ascii="Cambria Math" w:hAnsi="Cambria Math"/>
              </w:rPr>
              <m:t>D</m:t>
            </m:r>
            <m:ctrlPr>
              <w:rPr>
                <w:rFonts w:ascii="Cambria Math" w:hAnsi="Cambria Math"/>
                <w:i/>
              </w:rPr>
            </m:ctrlPr>
          </m:e>
          <m:sub>
            <m:r>
              <m:rPr/>
              <w:rPr>
                <w:rFonts w:hint="eastAsia" w:ascii="Cambria Math" w:hAnsi="Cambria Math"/>
              </w:rPr>
              <m:t>y</m:t>
            </m:r>
            <m:ctrlPr>
              <w:rPr>
                <w:rFonts w:ascii="Cambria Math" w:hAnsi="Cambria Math"/>
                <w:i/>
              </w:rPr>
            </m:ctrlPr>
          </m:sub>
        </m:sSub>
      </m:oMath>
      <w:r>
        <w:rPr>
          <w:rFonts w:hint="eastAsia" w:hAnsi="宋体"/>
          <w:szCs w:val="21"/>
        </w:rPr>
        <w:t>。</w:t>
      </w:r>
    </w:p>
    <w:p w14:paraId="08763A13">
      <w:pPr>
        <w:pStyle w:val="180"/>
        <w:rPr>
          <w:rFonts w:hint="eastAsia" w:hAnsi="宋体"/>
          <w:szCs w:val="21"/>
        </w:rPr>
      </w:pPr>
      <w:r>
        <w:rPr>
          <w:rFonts w:hint="eastAsia" w:hAnsi="宋体"/>
          <w:szCs w:val="21"/>
        </w:rPr>
        <w:t>按照公式（2）计算</w:t>
      </w:r>
      <w:r>
        <w:rPr>
          <w:rFonts w:hint="eastAsia"/>
        </w:rPr>
        <w:t>被测设备</w:t>
      </w:r>
      <w:r>
        <w:rPr>
          <w:rFonts w:hint="eastAsia" w:hAnsi="宋体"/>
          <w:szCs w:val="21"/>
        </w:rPr>
        <w:t>在出瞳距离</w:t>
      </w:r>
      <w:r>
        <w:rPr>
          <w:rFonts w:hAnsi="宋体"/>
          <w:szCs w:val="21"/>
        </w:rPr>
        <w:t>L</w:t>
      </w:r>
      <w:r>
        <w:rPr>
          <w:rFonts w:hint="eastAsia" w:hAnsi="宋体"/>
          <w:szCs w:val="21"/>
        </w:rPr>
        <w:t>处的出瞳直径</w:t>
      </w:r>
      <m:oMath>
        <m:r>
          <m:rPr/>
          <w:rPr>
            <w:rFonts w:ascii="Cambria Math" w:hAnsi="Cambria Math"/>
          </w:rPr>
          <m:t>D</m:t>
        </m:r>
      </m:oMath>
      <w:r>
        <w:rPr>
          <w:rFonts w:hint="eastAsia" w:hAnsi="宋体"/>
          <w:szCs w:val="21"/>
        </w:rPr>
        <w:t>；</w:t>
      </w:r>
    </w:p>
    <w:p w14:paraId="3A9EA2A6">
      <w:pPr>
        <w:pStyle w:val="119"/>
        <w:rPr>
          <w:rFonts w:hint="eastAsia"/>
        </w:rPr>
      </w:pPr>
      <w:r>
        <w:rPr>
          <w:rFonts w:hint="eastAsia"/>
        </w:rPr>
        <w:tab/>
      </w:r>
      <m:oMath>
        <m:r>
          <m:rPr/>
          <w:rPr>
            <w:rFonts w:ascii="Cambria Math" w:hAnsi="Cambria Math"/>
          </w:rPr>
          <m:t>D=</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min</m:t>
                </m:r>
                <m:ctrlPr>
                  <w:rPr>
                    <w:rFonts w:ascii="Cambria Math" w:hAnsi="Cambria Math"/>
                    <w:i/>
                  </w:rPr>
                </m:ctrlPr>
              </m:e>
              <m:lim>
                <m:ctrlPr>
                  <w:rPr>
                    <w:rFonts w:ascii="Cambria Math" w:hAnsi="Cambria Math"/>
                    <w:i/>
                  </w:rPr>
                </m:ctrlPr>
              </m:lim>
            </m:limLow>
            <m:ctrlPr>
              <w:rPr>
                <w:rFonts w:ascii="Cambria Math" w:hAnsi="Cambria Math"/>
                <w:i/>
              </w:rPr>
            </m:ctrlPr>
          </m:fName>
          <m:e>
            <m:d>
              <m:dPr>
                <m:ctrlPr>
                  <w:rPr>
                    <w:rFonts w:ascii="Cambria Math" w:hAnsi="Cambria Math"/>
                    <w:i/>
                  </w:rPr>
                </m:ctrlPr>
              </m:dPr>
              <m:e>
                <m:sSub>
                  <m:sSubPr>
                    <m:ctrlPr>
                      <w:rPr>
                        <w:rFonts w:ascii="Cambria Math" w:hAnsi="Cambria Math"/>
                        <w:i/>
                      </w:rPr>
                    </m:ctrlPr>
                  </m:sSubPr>
                  <m:e>
                    <m:r>
                      <m:rPr/>
                      <w:rPr>
                        <w:rFonts w:ascii="Cambria Math" w:hAnsi="Cambria Math"/>
                      </w:rPr>
                      <m:t>D</m:t>
                    </m:r>
                    <m:ctrlPr>
                      <w:rPr>
                        <w:rFonts w:ascii="Cambria Math" w:hAnsi="Cambria Math"/>
                        <w:i/>
                      </w:rPr>
                    </m:ctrlPr>
                  </m:e>
                  <m:sub>
                    <m:r>
                      <m:rPr/>
                      <w:rPr>
                        <w:rFonts w:hint="eastAsia" w:ascii="Cambria Math" w:hAnsi="Cambria Math"/>
                      </w:rPr>
                      <m:t>x</m:t>
                    </m:r>
                    <m:ctrlPr>
                      <w:rPr>
                        <w:rFonts w:ascii="Cambria Math" w:hAnsi="Cambria Math"/>
                        <w:i/>
                      </w:rPr>
                    </m:ctrlPr>
                  </m:sub>
                </m:sSub>
                <m:sSub>
                  <m:sSubPr>
                    <m:ctrlPr>
                      <w:rPr>
                        <w:rFonts w:ascii="Cambria Math" w:hAnsi="Cambria Math"/>
                        <w:i/>
                      </w:rPr>
                    </m:ctrlPr>
                  </m:sSubPr>
                  <m:e>
                    <m:r>
                      <m:rPr>
                        <m:sty m:val="p"/>
                      </m:rPr>
                      <w:rPr>
                        <w:rFonts w:ascii="Cambria Math" w:hAnsi="Cambria Math"/>
                      </w:rPr>
                      <m:t>,</m:t>
                    </m:r>
                    <m:r>
                      <m:rPr/>
                      <w:rPr>
                        <w:rFonts w:ascii="Cambria Math" w:hAnsi="Cambria Math"/>
                      </w:rPr>
                      <m:t>D</m:t>
                    </m:r>
                    <m:ctrlPr>
                      <w:rPr>
                        <w:rFonts w:ascii="Cambria Math" w:hAnsi="Cambria Math"/>
                        <w:i/>
                      </w:rPr>
                    </m:ctrlPr>
                  </m:e>
                  <m:sub>
                    <m:r>
                      <m:rPr/>
                      <w:rPr>
                        <w:rFonts w:hint="eastAsia" w:ascii="Cambria Math" w:hAnsi="Cambria Math"/>
                      </w:rPr>
                      <m:t>y</m:t>
                    </m:r>
                    <m:ctrlPr>
                      <w:rPr>
                        <w:rFonts w:ascii="Cambria Math" w:hAnsi="Cambria Math"/>
                        <w:i/>
                      </w:rPr>
                    </m:ctrlPr>
                  </m:sub>
                </m:sSub>
                <m:ctrlPr>
                  <w:rPr>
                    <w:rFonts w:ascii="Cambria Math" w:hAnsi="Cambria Math"/>
                    <w:i/>
                  </w:rPr>
                </m:ctrlPr>
              </m:e>
            </m:d>
            <m:ctrlPr>
              <w:rPr>
                <w:rFonts w:ascii="Cambria Math" w:hAnsi="Cambria Math"/>
                <w:i/>
              </w:rPr>
            </m:ctrlPr>
          </m:e>
        </m:func>
      </m:oMath>
      <w:r>
        <w:rPr>
          <w:rFonts w:hint="eastAsia" w:ascii="微软雅黑" w:hAnsi="微软雅黑" w:eastAsia="微软雅黑"/>
        </w:rPr>
        <w:tab/>
      </w:r>
      <w:r>
        <w:t>(</w:t>
      </w:r>
      <w:r>
        <w:rPr>
          <w:rFonts w:hint="eastAsia"/>
        </w:rPr>
        <w:t>2</w:t>
      </w:r>
      <w:r>
        <w:t>)</w:t>
      </w:r>
    </w:p>
    <w:p w14:paraId="72D29989">
      <w:pPr>
        <w:pStyle w:val="61"/>
        <w:ind w:firstLine="420"/>
      </w:pPr>
      <w:r>
        <w:rPr>
          <w:rFonts w:hint="eastAsia"/>
        </w:rPr>
        <w:t>式中：</w:t>
      </w:r>
    </w:p>
    <w:p w14:paraId="145917CE">
      <w:pPr>
        <w:pStyle w:val="62"/>
        <w:ind w:firstLine="420"/>
        <w:rPr>
          <w:rFonts w:hint="eastAsia" w:hAnsi="宋体"/>
        </w:rPr>
      </w:pPr>
      <m:oMath>
        <m:r>
          <m:rPr/>
          <w:rPr>
            <w:rFonts w:ascii="Cambria Math" w:hAnsi="Cambria Math"/>
          </w:rPr>
          <m:t>D</m:t>
        </m:r>
      </m:oMath>
      <w:r>
        <w:rPr>
          <w:rFonts w:hAnsi="宋体"/>
          <w:i/>
        </w:rPr>
        <w:t xml:space="preserve"> </w:t>
      </w:r>
      <w:r>
        <w:rPr>
          <w:rFonts w:hAnsi="宋体"/>
        </w:rPr>
        <w:t>——</w:t>
      </w:r>
      <w:r>
        <w:rPr>
          <w:rFonts w:hint="eastAsia" w:hAnsi="宋体"/>
        </w:rPr>
        <w:t>在出瞳距离</w:t>
      </w:r>
      <w:r>
        <w:rPr>
          <w:rFonts w:hAnsi="宋体"/>
        </w:rPr>
        <w:t>L</w:t>
      </w:r>
      <w:r>
        <w:rPr>
          <w:rFonts w:hint="eastAsia" w:hAnsi="宋体"/>
        </w:rPr>
        <w:t>处的出瞳直径，单位为mm；</w:t>
      </w:r>
    </w:p>
    <w:p w14:paraId="38F2F734">
      <w:pPr>
        <w:pStyle w:val="62"/>
        <w:ind w:firstLine="420"/>
        <w:rPr>
          <w:rFonts w:hint="eastAsia" w:hAnsi="宋体"/>
        </w:rPr>
      </w:pPr>
      <m:oMath>
        <m:sSub>
          <m:sSubPr>
            <m:ctrlPr>
              <w:rPr>
                <w:rFonts w:ascii="Cambria Math" w:hAnsi="Cambria Math"/>
                <w:i/>
                <w:kern w:val="2"/>
                <w:szCs w:val="21"/>
              </w:rPr>
            </m:ctrlPr>
          </m:sSubPr>
          <m:e>
            <m:r>
              <m:rPr/>
              <w:rPr>
                <w:rFonts w:ascii="Cambria Math" w:hAnsi="Cambria Math"/>
              </w:rPr>
              <m:t>D</m:t>
            </m:r>
            <m:ctrlPr>
              <w:rPr>
                <w:rFonts w:ascii="Cambria Math" w:hAnsi="Cambria Math"/>
                <w:i/>
                <w:kern w:val="2"/>
                <w:szCs w:val="21"/>
              </w:rPr>
            </m:ctrlPr>
          </m:e>
          <m:sub>
            <m:r>
              <m:rPr/>
              <w:rPr>
                <w:rFonts w:hint="eastAsia" w:ascii="Cambria Math" w:hAnsi="Cambria Math"/>
              </w:rPr>
              <m:t>x</m:t>
            </m:r>
            <m:ctrlPr>
              <w:rPr>
                <w:rFonts w:ascii="Cambria Math" w:hAnsi="Cambria Math"/>
                <w:i/>
                <w:kern w:val="2"/>
                <w:szCs w:val="21"/>
              </w:rPr>
            </m:ctrlPr>
          </m:sub>
        </m:sSub>
      </m:oMath>
      <w:r>
        <w:rPr>
          <w:rFonts w:hAnsi="宋体"/>
        </w:rPr>
        <w:t>——</w:t>
      </w:r>
      <w:r>
        <w:rPr>
          <w:rFonts w:hint="eastAsia"/>
        </w:rPr>
        <w:t>被测设备</w:t>
      </w:r>
      <w:r>
        <w:rPr>
          <w:rFonts w:hAnsi="宋体"/>
        </w:rPr>
        <w:t>在水平方向上的眼瞳箱长度，单位为</w:t>
      </w:r>
      <w:r>
        <w:rPr>
          <w:rFonts w:hint="eastAsia" w:hAnsi="宋体"/>
        </w:rPr>
        <w:t>mm；</w:t>
      </w:r>
    </w:p>
    <w:p w14:paraId="5C0256A9">
      <w:pPr>
        <w:pStyle w:val="62"/>
        <w:ind w:firstLine="413" w:firstLineChars="197"/>
        <w:rPr>
          <w:rFonts w:hint="eastAsia" w:hAnsi="宋体" w:cs="Arial"/>
        </w:rPr>
      </w:pPr>
      <m:oMath>
        <m:sSub>
          <m:sSubPr>
            <m:ctrlPr>
              <w:rPr>
                <w:rFonts w:ascii="Cambria Math" w:hAnsi="Cambria Math"/>
                <w:i/>
                <w:kern w:val="2"/>
                <w:szCs w:val="21"/>
              </w:rPr>
            </m:ctrlPr>
          </m:sSubPr>
          <m:e>
            <m:r>
              <m:rPr/>
              <w:rPr>
                <w:rFonts w:ascii="Cambria Math" w:hAnsi="Cambria Math"/>
              </w:rPr>
              <m:t>D</m:t>
            </m:r>
            <m:ctrlPr>
              <w:rPr>
                <w:rFonts w:ascii="Cambria Math" w:hAnsi="Cambria Math"/>
                <w:i/>
                <w:kern w:val="2"/>
                <w:szCs w:val="21"/>
              </w:rPr>
            </m:ctrlPr>
          </m:e>
          <m:sub>
            <m:r>
              <m:rPr/>
              <w:rPr>
                <w:rFonts w:hint="eastAsia" w:ascii="Cambria Math" w:hAnsi="Cambria Math"/>
              </w:rPr>
              <m:t>y</m:t>
            </m:r>
            <m:ctrlPr>
              <w:rPr>
                <w:rFonts w:ascii="Cambria Math" w:hAnsi="Cambria Math"/>
                <w:i/>
                <w:kern w:val="2"/>
                <w:szCs w:val="21"/>
              </w:rPr>
            </m:ctrlPr>
          </m:sub>
        </m:sSub>
      </m:oMath>
      <w:r>
        <w:rPr>
          <w:rFonts w:hAnsi="宋体"/>
        </w:rPr>
        <w:t>——</w:t>
      </w:r>
      <w:r>
        <w:rPr>
          <w:rFonts w:hint="eastAsia"/>
        </w:rPr>
        <w:t>被测设备</w:t>
      </w:r>
      <w:r>
        <w:rPr>
          <w:rFonts w:hAnsi="宋体"/>
        </w:rPr>
        <w:t>在垂直方向上的眼瞳箱长度，单位为</w:t>
      </w:r>
      <w:r>
        <w:rPr>
          <w:rFonts w:hint="eastAsia" w:hAnsi="宋体"/>
        </w:rPr>
        <w:t>mm</w:t>
      </w:r>
      <w:r>
        <w:rPr>
          <w:rFonts w:hAnsi="宋体"/>
        </w:rPr>
        <w:t>。</w:t>
      </w:r>
    </w:p>
    <w:p w14:paraId="60C38A41">
      <w:pPr>
        <w:pStyle w:val="71"/>
        <w:spacing w:before="120" w:after="120"/>
      </w:pPr>
      <w:bookmarkStart w:id="94" w:name="_Toc190791363"/>
      <w:bookmarkStart w:id="95" w:name="_Toc1946"/>
      <w:r>
        <w:rPr>
          <w:rFonts w:hint="eastAsia"/>
        </w:rPr>
        <w:t>主视场畸变测量</w:t>
      </w:r>
      <w:bookmarkEnd w:id="94"/>
      <w:bookmarkEnd w:id="95"/>
    </w:p>
    <w:p w14:paraId="489BB8ED">
      <w:pPr>
        <w:pStyle w:val="62"/>
        <w:ind w:firstLine="420"/>
        <w:rPr>
          <w:szCs w:val="21"/>
        </w:rPr>
      </w:pPr>
      <w:r>
        <w:rPr>
          <w:rFonts w:hint="eastAsia"/>
        </w:rPr>
        <w:t>主视场畸变测量步骤如下</w:t>
      </w:r>
      <w:r>
        <w:rPr>
          <w:rFonts w:hint="eastAsia"/>
          <w:szCs w:val="21"/>
        </w:rPr>
        <w:t>：</w:t>
      </w:r>
    </w:p>
    <w:p w14:paraId="191249B8">
      <w:pPr>
        <w:pStyle w:val="180"/>
        <w:numPr>
          <w:ilvl w:val="0"/>
          <w:numId w:val="34"/>
        </w:numPr>
      </w:pPr>
      <w:r>
        <w:rPr>
          <w:rFonts w:hint="eastAsia" w:hAnsi="宋体"/>
          <w:szCs w:val="21"/>
        </w:rPr>
        <w:t>将</w:t>
      </w:r>
      <w:r>
        <w:rPr>
          <w:rFonts w:hint="eastAsia"/>
        </w:rPr>
        <w:t>被测设备</w:t>
      </w:r>
      <w:r>
        <w:rPr>
          <w:rFonts w:hint="eastAsia" w:hAnsi="宋体"/>
          <w:szCs w:val="21"/>
        </w:rPr>
        <w:t>置于分光计载物台上；</w:t>
      </w:r>
    </w:p>
    <w:p w14:paraId="6DA2E7B7">
      <w:pPr>
        <w:pStyle w:val="180"/>
        <w:numPr>
          <w:ilvl w:val="0"/>
          <w:numId w:val="34"/>
        </w:numPr>
      </w:pPr>
      <w:r>
        <w:rPr>
          <w:rFonts w:hint="eastAsia" w:hAnsi="宋体"/>
          <w:szCs w:val="21"/>
        </w:rPr>
        <w:t>调整</w:t>
      </w:r>
      <w:r>
        <w:rPr>
          <w:rFonts w:hint="eastAsia"/>
        </w:rPr>
        <w:t>被测设备</w:t>
      </w:r>
      <w:r>
        <w:rPr>
          <w:rFonts w:hint="eastAsia" w:hAnsi="宋体"/>
          <w:szCs w:val="21"/>
        </w:rPr>
        <w:t>以保证一个目镜设计出瞳中心置于分光计转台中心为准，另外保证待测的视场方向（例如测水平方向畸变，视场方向为与双眼连线平行方向）和分光计转台旋转平面平行；</w:t>
      </w:r>
    </w:p>
    <w:p w14:paraId="1DA04973">
      <w:pPr>
        <w:pStyle w:val="180"/>
        <w:numPr>
          <w:ilvl w:val="0"/>
          <w:numId w:val="34"/>
        </w:numPr>
      </w:pPr>
      <w:r>
        <w:rPr>
          <w:rFonts w:hint="eastAsia" w:hAnsi="宋体"/>
          <w:szCs w:val="21"/>
        </w:rPr>
        <w:t>在</w:t>
      </w:r>
      <w:r>
        <w:rPr>
          <w:rFonts w:hint="eastAsia"/>
        </w:rPr>
        <w:t>被测设备</w:t>
      </w:r>
      <w:r>
        <w:rPr>
          <w:rFonts w:hint="eastAsia" w:hAnsi="宋体"/>
          <w:szCs w:val="21"/>
        </w:rPr>
        <w:t>的屏幕上显示主视场畸变测量信号，将信号四角的点顺序标记为A、B、C、D；</w:t>
      </w:r>
    </w:p>
    <w:p w14:paraId="292E7EE5">
      <w:pPr>
        <w:pStyle w:val="180"/>
        <w:numPr>
          <w:ilvl w:val="0"/>
          <w:numId w:val="34"/>
        </w:numPr>
      </w:pPr>
      <w:r>
        <w:rPr>
          <w:rFonts w:hint="eastAsia" w:hAnsi="宋体"/>
          <w:szCs w:val="21"/>
        </w:rPr>
        <w:t>使用成像式亮度计测量轮廓线与四边的最大偏离量，如图5所示；</w:t>
      </w:r>
    </w:p>
    <w:p w14:paraId="77C6E0EB">
      <w:pPr>
        <w:pStyle w:val="180"/>
        <w:numPr>
          <w:ilvl w:val="0"/>
          <w:numId w:val="34"/>
        </w:numPr>
      </w:pPr>
      <w:r>
        <w:rPr>
          <w:rFonts w:hint="eastAsia" w:hAnsi="宋体"/>
          <w:szCs w:val="21"/>
        </w:rPr>
        <w:t>按照公式（3）和公式（4）计算水平畸变失真</w:t>
      </w:r>
      <m:oMath>
        <m:sSub>
          <m:sSubPr>
            <m:ctrlPr>
              <w:rPr>
                <w:rFonts w:ascii="Cambria Math" w:hAnsi="Cambria Math"/>
                <w:i/>
                <w:kern w:val="2"/>
                <w:szCs w:val="21"/>
              </w:rPr>
            </m:ctrlPr>
          </m:sSubPr>
          <m:e>
            <m:r>
              <m:rPr/>
              <w:rPr>
                <w:rFonts w:ascii="Cambria Math" w:hAnsi="Cambria Math"/>
              </w:rPr>
              <m:t>C</m:t>
            </m:r>
            <m:ctrlPr>
              <w:rPr>
                <w:rFonts w:ascii="Cambria Math" w:hAnsi="Cambria Math"/>
                <w:i/>
                <w:kern w:val="2"/>
                <w:szCs w:val="21"/>
              </w:rPr>
            </m:ctrlPr>
          </m:e>
          <m:sub>
            <m:r>
              <m:rPr/>
              <w:rPr>
                <w:rFonts w:ascii="Cambria Math" w:hAnsi="Cambria Math"/>
              </w:rPr>
              <m:t>H</m:t>
            </m:r>
            <m:ctrlPr>
              <w:rPr>
                <w:rFonts w:ascii="Cambria Math" w:hAnsi="Cambria Math"/>
                <w:i/>
                <w:kern w:val="2"/>
                <w:szCs w:val="21"/>
              </w:rPr>
            </m:ctrlPr>
          </m:sub>
        </m:sSub>
      </m:oMath>
      <w:r>
        <w:rPr>
          <w:rFonts w:hint="eastAsia" w:hAnsi="宋体"/>
          <w:szCs w:val="21"/>
        </w:rPr>
        <w:t>和垂直畸变失真</w:t>
      </w:r>
      <m:oMath>
        <m:sSub>
          <m:sSubPr>
            <m:ctrlPr>
              <w:rPr>
                <w:rFonts w:ascii="Cambria Math" w:hAnsi="Cambria Math"/>
                <w:i/>
                <w:kern w:val="2"/>
                <w:szCs w:val="21"/>
              </w:rPr>
            </m:ctrlPr>
          </m:sSubPr>
          <m:e>
            <m:r>
              <m:rPr/>
              <w:rPr>
                <w:rFonts w:ascii="Cambria Math" w:hAnsi="Cambria Math"/>
              </w:rPr>
              <m:t>C</m:t>
            </m:r>
            <m:ctrlPr>
              <w:rPr>
                <w:rFonts w:ascii="Cambria Math" w:hAnsi="Cambria Math"/>
                <w:i/>
                <w:kern w:val="2"/>
                <w:szCs w:val="21"/>
              </w:rPr>
            </m:ctrlPr>
          </m:e>
          <m:sub>
            <m:r>
              <m:rPr/>
              <w:rPr>
                <w:rFonts w:ascii="Cambria Math" w:hAnsi="Cambria Math"/>
              </w:rPr>
              <m:t>V</m:t>
            </m:r>
            <m:ctrlPr>
              <w:rPr>
                <w:rFonts w:ascii="Cambria Math" w:hAnsi="Cambria Math"/>
                <w:i/>
                <w:kern w:val="2"/>
                <w:szCs w:val="21"/>
              </w:rPr>
            </m:ctrlPr>
          </m:sub>
        </m:sSub>
      </m:oMath>
      <w:r>
        <w:rPr>
          <w:rFonts w:hint="eastAsia" w:hAnsi="宋体"/>
          <w:szCs w:val="21"/>
        </w:rPr>
        <w:t>；</w:t>
      </w:r>
    </w:p>
    <w:p w14:paraId="23AF8D63">
      <w:pPr>
        <w:pStyle w:val="119"/>
        <w:rPr>
          <w:rFonts w:hint="eastAsia"/>
        </w:rPr>
      </w:pPr>
      <w:r>
        <w:rPr>
          <w:rFonts w:hint="eastAsia"/>
        </w:rPr>
        <w:tab/>
      </w:r>
      <m:oMath>
        <m:sSub>
          <m:sSubPr>
            <m:ctrlPr>
              <w:rPr>
                <w:rFonts w:ascii="Cambria Math" w:hAnsi="Cambria Math"/>
                <w:i/>
              </w:rPr>
            </m:ctrlPr>
          </m:sSubPr>
          <m:e>
            <m:r>
              <m:rPr/>
              <w:rPr>
                <w:rFonts w:ascii="Cambria Math" w:hAnsi="Cambria Math"/>
              </w:rPr>
              <m:t>C</m:t>
            </m:r>
            <m:ctrlPr>
              <w:rPr>
                <w:rFonts w:ascii="Cambria Math" w:hAnsi="Cambria Math"/>
                <w:i/>
              </w:rPr>
            </m:ctrlPr>
          </m:e>
          <m:sub>
            <m:r>
              <m:rPr/>
              <w:rPr>
                <w:rFonts w:ascii="Cambria Math" w:hAnsi="Cambria Math"/>
              </w:rPr>
              <m:t>H</m:t>
            </m:r>
            <m:ctrlPr>
              <w:rPr>
                <w:rFonts w:ascii="Cambria Math" w:hAnsi="Cambria Math"/>
                <w:i/>
              </w:rPr>
            </m:ctrlPr>
          </m:sub>
        </m:sSub>
        <m:r>
          <m:rPr/>
          <w:rPr>
            <w:rFonts w:ascii="Cambria Math" w:hAnsi="Cambria Math"/>
          </w:rPr>
          <m:t>=</m:t>
        </m:r>
        <m:d>
          <m:dPr>
            <m:begChr m:val="["/>
            <m:endChr m:val="]"/>
            <m:ctrlPr>
              <w:rPr>
                <w:rFonts w:ascii="Cambria Math" w:hAnsi="Cambria Math"/>
                <w:i/>
              </w:rPr>
            </m:ctrlPr>
          </m:dPr>
          <m:e>
            <m:f>
              <m:fPr>
                <m:ctrlPr>
                  <w:rPr>
                    <w:rFonts w:ascii="Cambria Math" w:hAnsi="Cambria Math"/>
                    <w:i/>
                  </w:rPr>
                </m:ctrlPr>
              </m:fPr>
              <m:num>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max</m:t>
                        </m:r>
                        <m:ctrlPr>
                          <w:rPr>
                            <w:rFonts w:ascii="Cambria Math" w:hAnsi="Cambria Math"/>
                            <w:i/>
                          </w:rPr>
                        </m:ctrlPr>
                      </m:e>
                      <m:lim>
                        <m:ctrlPr>
                          <w:rPr>
                            <w:rFonts w:ascii="Cambria Math" w:hAnsi="Cambria Math"/>
                            <w:i/>
                          </w:rPr>
                        </m:ctrlPr>
                      </m:lim>
                    </m:limLow>
                    <m:ctrlPr>
                      <w:rPr>
                        <w:rFonts w:ascii="Cambria Math" w:hAnsi="Cambria Math"/>
                        <w:i/>
                      </w:rPr>
                    </m:ctrlPr>
                  </m:fName>
                  <m:e>
                    <m:d>
                      <m:dPr>
                        <m:ctrlPr>
                          <w:rPr>
                            <w:rFonts w:ascii="Cambria Math" w:hAnsi="Cambria Math"/>
                            <w:i/>
                          </w:rPr>
                        </m:ctrlPr>
                      </m:dPr>
                      <m:e>
                        <m:r>
                          <m:rPr/>
                          <w:rPr>
                            <w:rFonts w:ascii="Cambria Math" w:hAnsi="Cambria Math"/>
                          </w:rPr>
                          <m:t>∆</m:t>
                        </m:r>
                        <m:sSub>
                          <m:sSubPr>
                            <m:ctrlPr>
                              <w:rPr>
                                <w:rFonts w:ascii="Cambria Math" w:hAnsi="Cambria Math"/>
                                <w:i/>
                              </w:rPr>
                            </m:ctrlPr>
                          </m:sSubPr>
                          <m:e>
                            <m:r>
                              <m:rPr/>
                              <w:rPr>
                                <w:rFonts w:ascii="Cambria Math" w:hAnsi="Cambria Math"/>
                              </w:rPr>
                              <m:t>V</m:t>
                            </m:r>
                            <m:ctrlPr>
                              <w:rPr>
                                <w:rFonts w:ascii="Cambria Math" w:hAnsi="Cambria Math"/>
                                <w:i/>
                              </w:rPr>
                            </m:ctrlPr>
                          </m:e>
                          <m:sub>
                            <m:r>
                              <m:rPr/>
                              <w:rPr>
                                <w:rFonts w:ascii="Cambria Math" w:hAnsi="Cambria Math"/>
                              </w:rPr>
                              <m:t>1</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∆V</m:t>
                            </m:r>
                            <m:ctrlPr>
                              <w:rPr>
                                <w:rFonts w:ascii="Cambria Math" w:hAnsi="Cambria Math"/>
                                <w:i/>
                              </w:rPr>
                            </m:ctrlPr>
                          </m:e>
                          <m:sub>
                            <m:r>
                              <m:rPr/>
                              <w:rPr>
                                <w:rFonts w:ascii="Cambria Math" w:hAnsi="Cambria Math"/>
                              </w:rPr>
                              <m:t>2</m:t>
                            </m:r>
                            <m:ctrlPr>
                              <w:rPr>
                                <w:rFonts w:ascii="Cambria Math" w:hAnsi="Cambria Math"/>
                                <w:i/>
                              </w:rPr>
                            </m:ctrlPr>
                          </m:sub>
                        </m:sSub>
                        <m:ctrlPr>
                          <w:rPr>
                            <w:rFonts w:ascii="Cambria Math" w:hAnsi="Cambria Math"/>
                            <w:i/>
                          </w:rPr>
                        </m:ctrlPr>
                      </m:e>
                    </m:d>
                    <m:ctrlPr>
                      <w:rPr>
                        <w:rFonts w:ascii="Cambria Math" w:hAnsi="Cambria Math"/>
                        <w:i/>
                      </w:rPr>
                    </m:ctrlPr>
                  </m:e>
                </m:func>
                <m:ctrlPr>
                  <w:rPr>
                    <w:rFonts w:ascii="Cambria Math" w:hAnsi="Cambria Math"/>
                    <w:i/>
                  </w:rPr>
                </m:ctrlPr>
              </m:num>
              <m:den>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min</m:t>
                        </m:r>
                        <m:ctrlPr>
                          <w:rPr>
                            <w:rFonts w:ascii="Cambria Math" w:hAnsi="Cambria Math"/>
                            <w:i/>
                          </w:rPr>
                        </m:ctrlPr>
                      </m:e>
                      <m:lim>
                        <m:ctrlPr>
                          <w:rPr>
                            <w:rFonts w:ascii="Cambria Math" w:hAnsi="Cambria Math"/>
                            <w:i/>
                          </w:rPr>
                        </m:ctrlPr>
                      </m:lim>
                    </m:limLow>
                    <m:ctrlPr>
                      <w:rPr>
                        <w:rFonts w:ascii="Cambria Math" w:hAnsi="Cambria Math"/>
                        <w:i/>
                      </w:rPr>
                    </m:ctrlPr>
                  </m:fName>
                  <m:e>
                    <m:d>
                      <m:dPr>
                        <m:ctrlPr>
                          <w:rPr>
                            <w:rFonts w:ascii="Cambria Math" w:hAnsi="Cambria Math"/>
                            <w:i/>
                          </w:rPr>
                        </m:ctrlPr>
                      </m:dPr>
                      <m:e>
                        <m:sSub>
                          <m:sSubPr>
                            <m:ctrlPr>
                              <w:rPr>
                                <w:rFonts w:ascii="Cambria Math" w:hAnsi="Cambria Math"/>
                                <w:i/>
                              </w:rPr>
                            </m:ctrlPr>
                          </m:sSubPr>
                          <m:e>
                            <m:r>
                              <m:rPr/>
                              <w:rPr>
                                <w:rFonts w:ascii="Cambria Math" w:hAnsi="Cambria Math"/>
                              </w:rPr>
                              <m:t>V</m:t>
                            </m:r>
                            <m:ctrlPr>
                              <w:rPr>
                                <w:rFonts w:ascii="Cambria Math" w:hAnsi="Cambria Math"/>
                                <w:i/>
                              </w:rPr>
                            </m:ctrlPr>
                          </m:e>
                          <m:sub>
                            <m:r>
                              <m:rPr/>
                              <w:rPr>
                                <w:rFonts w:ascii="Cambria Math" w:hAnsi="Cambria Math"/>
                              </w:rPr>
                              <m:t>1</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V</m:t>
                            </m:r>
                            <m:ctrlPr>
                              <w:rPr>
                                <w:rFonts w:ascii="Cambria Math" w:hAnsi="Cambria Math"/>
                                <w:i/>
                              </w:rPr>
                            </m:ctrlPr>
                          </m:e>
                          <m:sub>
                            <m:r>
                              <m:rPr/>
                              <w:rPr>
                                <w:rFonts w:ascii="Cambria Math" w:hAnsi="Cambria Math"/>
                              </w:rPr>
                              <m:t>2</m:t>
                            </m:r>
                            <m:ctrlPr>
                              <w:rPr>
                                <w:rFonts w:ascii="Cambria Math" w:hAnsi="Cambria Math"/>
                                <w:i/>
                              </w:rPr>
                            </m:ctrlPr>
                          </m:sub>
                        </m:sSub>
                        <m:ctrlPr>
                          <w:rPr>
                            <w:rFonts w:ascii="Cambria Math" w:hAnsi="Cambria Math"/>
                            <w:i/>
                          </w:rPr>
                        </m:ctrlPr>
                      </m:e>
                    </m:d>
                    <m:ctrlPr>
                      <w:rPr>
                        <w:rFonts w:ascii="Cambria Math" w:hAnsi="Cambria Math"/>
                        <w:i/>
                      </w:rPr>
                    </m:ctrlPr>
                  </m:e>
                </m:func>
                <m:ctrlPr>
                  <w:rPr>
                    <w:rFonts w:ascii="Cambria Math" w:hAnsi="Cambria Math"/>
                    <w:i/>
                  </w:rPr>
                </m:ctrlPr>
              </m:den>
            </m:f>
            <m:ctrlPr>
              <w:rPr>
                <w:rFonts w:ascii="Cambria Math" w:hAnsi="Cambria Math"/>
                <w:i/>
              </w:rPr>
            </m:ctrlPr>
          </m:e>
        </m:d>
        <m:r>
          <m:rPr/>
          <w:rPr>
            <w:rFonts w:ascii="Cambria Math" w:hAnsi="Cambria Math"/>
          </w:rPr>
          <m:t>×100%</m:t>
        </m:r>
      </m:oMath>
      <w:r>
        <w:rPr>
          <w:rFonts w:hint="eastAsia" w:ascii="微软雅黑" w:hAnsi="微软雅黑" w:eastAsia="微软雅黑"/>
        </w:rPr>
        <w:tab/>
      </w:r>
      <w:r>
        <w:t>(</w:t>
      </w:r>
      <w:r>
        <w:rPr>
          <w:rFonts w:hint="eastAsia"/>
        </w:rPr>
        <w:t>3</w:t>
      </w:r>
      <w:r>
        <w:t>)</w:t>
      </w:r>
    </w:p>
    <w:p w14:paraId="20CFC5BD">
      <w:pPr>
        <w:pStyle w:val="119"/>
        <w:rPr>
          <w:rFonts w:hint="eastAsia"/>
        </w:rPr>
      </w:pPr>
      <w:r>
        <w:rPr>
          <w:rFonts w:hint="eastAsia"/>
        </w:rPr>
        <w:tab/>
      </w:r>
      <m:oMath>
        <m:sSub>
          <m:sSubPr>
            <m:ctrlPr>
              <w:rPr>
                <w:rFonts w:ascii="Cambria Math" w:hAnsi="Cambria Math"/>
                <w:i/>
              </w:rPr>
            </m:ctrlPr>
          </m:sSubPr>
          <m:e>
            <m:r>
              <m:rPr/>
              <w:rPr>
                <w:rFonts w:ascii="Cambria Math" w:hAnsi="Cambria Math"/>
              </w:rPr>
              <m:t>C</m:t>
            </m:r>
            <m:ctrlPr>
              <w:rPr>
                <w:rFonts w:ascii="Cambria Math" w:hAnsi="Cambria Math"/>
                <w:i/>
              </w:rPr>
            </m:ctrlPr>
          </m:e>
          <m:sub>
            <m:r>
              <m:rPr/>
              <w:rPr>
                <w:rFonts w:ascii="Cambria Math" w:hAnsi="Cambria Math"/>
              </w:rPr>
              <m:t>V</m:t>
            </m:r>
            <m:ctrlPr>
              <w:rPr>
                <w:rFonts w:ascii="Cambria Math" w:hAnsi="Cambria Math"/>
                <w:i/>
              </w:rPr>
            </m:ctrlPr>
          </m:sub>
        </m:sSub>
        <m:r>
          <m:rPr/>
          <w:rPr>
            <w:rFonts w:ascii="Cambria Math" w:hAnsi="Cambria Math"/>
          </w:rPr>
          <m:t>=</m:t>
        </m:r>
        <m:d>
          <m:dPr>
            <m:begChr m:val="["/>
            <m:endChr m:val="]"/>
            <m:ctrlPr>
              <w:rPr>
                <w:rFonts w:ascii="Cambria Math" w:hAnsi="Cambria Math"/>
                <w:i/>
              </w:rPr>
            </m:ctrlPr>
          </m:dPr>
          <m:e>
            <m:f>
              <m:fPr>
                <m:ctrlPr>
                  <w:rPr>
                    <w:rFonts w:ascii="Cambria Math" w:hAnsi="Cambria Math"/>
                    <w:i/>
                  </w:rPr>
                </m:ctrlPr>
              </m:fPr>
              <m:num>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max</m:t>
                        </m:r>
                        <m:ctrlPr>
                          <w:rPr>
                            <w:rFonts w:ascii="Cambria Math" w:hAnsi="Cambria Math"/>
                            <w:i/>
                          </w:rPr>
                        </m:ctrlPr>
                      </m:e>
                      <m:lim>
                        <m:ctrlPr>
                          <w:rPr>
                            <w:rFonts w:ascii="Cambria Math" w:hAnsi="Cambria Math"/>
                            <w:i/>
                          </w:rPr>
                        </m:ctrlPr>
                      </m:lim>
                    </m:limLow>
                    <m:ctrlPr>
                      <w:rPr>
                        <w:rFonts w:ascii="Cambria Math" w:hAnsi="Cambria Math"/>
                        <w:i/>
                      </w:rPr>
                    </m:ctrlPr>
                  </m:fName>
                  <m:e>
                    <m:d>
                      <m:dPr>
                        <m:ctrlPr>
                          <w:rPr>
                            <w:rFonts w:ascii="Cambria Math" w:hAnsi="Cambria Math"/>
                            <w:i/>
                          </w:rPr>
                        </m:ctrlPr>
                      </m:dPr>
                      <m:e>
                        <m:r>
                          <m:rPr/>
                          <w:rPr>
                            <w:rFonts w:ascii="Cambria Math" w:hAnsi="Cambria Math"/>
                          </w:rPr>
                          <m:t>∆</m:t>
                        </m:r>
                        <m:sSub>
                          <m:sSubPr>
                            <m:ctrlPr>
                              <w:rPr>
                                <w:rFonts w:ascii="Cambria Math" w:hAnsi="Cambria Math"/>
                                <w:i/>
                              </w:rPr>
                            </m:ctrlPr>
                          </m:sSubPr>
                          <m:e>
                            <m:r>
                              <m:rPr/>
                              <w:rPr>
                                <w:rFonts w:ascii="Cambria Math" w:hAnsi="Cambria Math"/>
                              </w:rPr>
                              <m:t>H</m:t>
                            </m:r>
                            <m:ctrlPr>
                              <w:rPr>
                                <w:rFonts w:ascii="Cambria Math" w:hAnsi="Cambria Math"/>
                                <w:i/>
                              </w:rPr>
                            </m:ctrlPr>
                          </m:e>
                          <m:sub>
                            <m:r>
                              <m:rPr/>
                              <w:rPr>
                                <w:rFonts w:ascii="Cambria Math" w:hAnsi="Cambria Math"/>
                              </w:rPr>
                              <m:t>1</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∆H</m:t>
                            </m:r>
                            <m:ctrlPr>
                              <w:rPr>
                                <w:rFonts w:ascii="Cambria Math" w:hAnsi="Cambria Math"/>
                                <w:i/>
                              </w:rPr>
                            </m:ctrlPr>
                          </m:e>
                          <m:sub>
                            <m:r>
                              <m:rPr/>
                              <w:rPr>
                                <w:rFonts w:ascii="Cambria Math" w:hAnsi="Cambria Math"/>
                              </w:rPr>
                              <m:t>2</m:t>
                            </m:r>
                            <m:ctrlPr>
                              <w:rPr>
                                <w:rFonts w:ascii="Cambria Math" w:hAnsi="Cambria Math"/>
                                <w:i/>
                              </w:rPr>
                            </m:ctrlPr>
                          </m:sub>
                        </m:sSub>
                        <m:ctrlPr>
                          <w:rPr>
                            <w:rFonts w:ascii="Cambria Math" w:hAnsi="Cambria Math"/>
                            <w:i/>
                          </w:rPr>
                        </m:ctrlPr>
                      </m:e>
                    </m:d>
                    <m:ctrlPr>
                      <w:rPr>
                        <w:rFonts w:ascii="Cambria Math" w:hAnsi="Cambria Math"/>
                        <w:i/>
                      </w:rPr>
                    </m:ctrlPr>
                  </m:e>
                </m:func>
                <m:ctrlPr>
                  <w:rPr>
                    <w:rFonts w:ascii="Cambria Math" w:hAnsi="Cambria Math"/>
                    <w:i/>
                  </w:rPr>
                </m:ctrlPr>
              </m:num>
              <m:den>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min</m:t>
                        </m:r>
                        <m:ctrlPr>
                          <w:rPr>
                            <w:rFonts w:ascii="Cambria Math" w:hAnsi="Cambria Math"/>
                            <w:i/>
                          </w:rPr>
                        </m:ctrlPr>
                      </m:e>
                      <m:lim>
                        <m:ctrlPr>
                          <w:rPr>
                            <w:rFonts w:ascii="Cambria Math" w:hAnsi="Cambria Math"/>
                            <w:i/>
                          </w:rPr>
                        </m:ctrlPr>
                      </m:lim>
                    </m:limLow>
                    <m:ctrlPr>
                      <w:rPr>
                        <w:rFonts w:ascii="Cambria Math" w:hAnsi="Cambria Math"/>
                        <w:i/>
                      </w:rPr>
                    </m:ctrlPr>
                  </m:fName>
                  <m:e>
                    <m:d>
                      <m:dPr>
                        <m:ctrlPr>
                          <w:rPr>
                            <w:rFonts w:ascii="Cambria Math" w:hAnsi="Cambria Math"/>
                            <w:i/>
                          </w:rPr>
                        </m:ctrlPr>
                      </m:dPr>
                      <m:e>
                        <m:sSub>
                          <m:sSubPr>
                            <m:ctrlPr>
                              <w:rPr>
                                <w:rFonts w:ascii="Cambria Math" w:hAnsi="Cambria Math"/>
                                <w:i/>
                              </w:rPr>
                            </m:ctrlPr>
                          </m:sSubPr>
                          <m:e>
                            <m:r>
                              <m:rPr/>
                              <w:rPr>
                                <w:rFonts w:ascii="Cambria Math" w:hAnsi="Cambria Math"/>
                              </w:rPr>
                              <m:t>H</m:t>
                            </m:r>
                            <m:ctrlPr>
                              <w:rPr>
                                <w:rFonts w:ascii="Cambria Math" w:hAnsi="Cambria Math"/>
                                <w:i/>
                              </w:rPr>
                            </m:ctrlPr>
                          </m:e>
                          <m:sub>
                            <m:r>
                              <m:rPr/>
                              <w:rPr>
                                <w:rFonts w:ascii="Cambria Math" w:hAnsi="Cambria Math"/>
                              </w:rPr>
                              <m:t>1</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H</m:t>
                            </m:r>
                            <m:ctrlPr>
                              <w:rPr>
                                <w:rFonts w:ascii="Cambria Math" w:hAnsi="Cambria Math"/>
                                <w:i/>
                              </w:rPr>
                            </m:ctrlPr>
                          </m:e>
                          <m:sub>
                            <m:r>
                              <m:rPr/>
                              <w:rPr>
                                <w:rFonts w:ascii="Cambria Math" w:hAnsi="Cambria Math"/>
                              </w:rPr>
                              <m:t>2</m:t>
                            </m:r>
                            <m:ctrlPr>
                              <w:rPr>
                                <w:rFonts w:ascii="Cambria Math" w:hAnsi="Cambria Math"/>
                                <w:i/>
                              </w:rPr>
                            </m:ctrlPr>
                          </m:sub>
                        </m:sSub>
                        <m:ctrlPr>
                          <w:rPr>
                            <w:rFonts w:ascii="Cambria Math" w:hAnsi="Cambria Math"/>
                            <w:i/>
                          </w:rPr>
                        </m:ctrlPr>
                      </m:e>
                    </m:d>
                    <m:ctrlPr>
                      <w:rPr>
                        <w:rFonts w:ascii="Cambria Math" w:hAnsi="Cambria Math"/>
                        <w:i/>
                      </w:rPr>
                    </m:ctrlPr>
                  </m:e>
                </m:func>
                <m:ctrlPr>
                  <w:rPr>
                    <w:rFonts w:ascii="Cambria Math" w:hAnsi="Cambria Math"/>
                    <w:i/>
                  </w:rPr>
                </m:ctrlPr>
              </m:den>
            </m:f>
            <m:ctrlPr>
              <w:rPr>
                <w:rFonts w:ascii="Cambria Math" w:hAnsi="Cambria Math"/>
                <w:i/>
              </w:rPr>
            </m:ctrlPr>
          </m:e>
        </m:d>
        <m:r>
          <m:rPr/>
          <w:rPr>
            <w:rFonts w:ascii="Cambria Math" w:hAnsi="Cambria Math"/>
          </w:rPr>
          <m:t>×100%</m:t>
        </m:r>
      </m:oMath>
      <w:r>
        <w:rPr>
          <w:rFonts w:hint="eastAsia" w:ascii="微软雅黑" w:hAnsi="微软雅黑" w:eastAsia="微软雅黑"/>
        </w:rPr>
        <w:tab/>
      </w:r>
      <w:r>
        <w:t>(</w:t>
      </w:r>
      <w:r>
        <w:rPr>
          <w:rFonts w:hint="eastAsia"/>
        </w:rPr>
        <w:t>4</w:t>
      </w:r>
      <w:r>
        <w:t>)</w:t>
      </w:r>
    </w:p>
    <w:p w14:paraId="5DE1B508">
      <w:pPr>
        <w:pStyle w:val="61"/>
        <w:ind w:firstLine="420"/>
      </w:pPr>
      <w:r>
        <w:rPr>
          <w:rFonts w:hint="eastAsia"/>
        </w:rPr>
        <w:t>式中：</w:t>
      </w:r>
    </w:p>
    <w:p w14:paraId="36EAD7C9">
      <w:pPr>
        <w:pStyle w:val="61"/>
        <w:ind w:firstLine="420"/>
      </w:pPr>
      <m:oMath>
        <m:sSub>
          <m:sSubPr>
            <m:ctrlPr>
              <w:rPr>
                <w:rFonts w:ascii="Cambria Math" w:hAnsi="Cambria Math"/>
                <w:i/>
                <w:kern w:val="2"/>
              </w:rPr>
            </m:ctrlPr>
          </m:sSubPr>
          <m:e>
            <m:r>
              <m:rPr/>
              <w:rPr>
                <w:rFonts w:ascii="Cambria Math" w:hAnsi="Cambria Math"/>
              </w:rPr>
              <m:t>C</m:t>
            </m:r>
            <m:ctrlPr>
              <w:rPr>
                <w:rFonts w:ascii="Cambria Math" w:hAnsi="Cambria Math"/>
                <w:i/>
                <w:kern w:val="2"/>
              </w:rPr>
            </m:ctrlPr>
          </m:e>
          <m:sub>
            <m:r>
              <m:rPr/>
              <w:rPr>
                <w:rFonts w:ascii="Cambria Math" w:hAnsi="Cambria Math"/>
              </w:rPr>
              <m:t>H</m:t>
            </m:r>
            <m:ctrlPr>
              <w:rPr>
                <w:rFonts w:ascii="Cambria Math" w:hAnsi="Cambria Math"/>
                <w:i/>
                <w:kern w:val="2"/>
              </w:rPr>
            </m:ctrlPr>
          </m:sub>
        </m:sSub>
      </m:oMath>
      <w:r>
        <w:rPr>
          <w:rFonts w:hint="eastAsia"/>
        </w:rPr>
        <w:t>——水平方向上的畸变失真；</w:t>
      </w:r>
    </w:p>
    <w:p w14:paraId="6A6518BA">
      <w:pPr>
        <w:pStyle w:val="62"/>
        <w:ind w:firstLine="420"/>
      </w:pPr>
      <m:oMath>
        <m:r>
          <m:rPr/>
          <w:rPr>
            <w:rFonts w:ascii="Cambria Math" w:hAnsi="Cambria Math"/>
          </w:rPr>
          <m:t>∆</m:t>
        </m:r>
        <m:sSub>
          <m:sSubPr>
            <m:ctrlPr>
              <w:rPr>
                <w:rFonts w:ascii="Cambria Math" w:hAnsi="Cambria Math"/>
                <w:i/>
                <w:kern w:val="2"/>
                <w:szCs w:val="21"/>
              </w:rPr>
            </m:ctrlPr>
          </m:sSubPr>
          <m:e>
            <m:r>
              <m:rPr/>
              <w:rPr>
                <w:rFonts w:ascii="Cambria Math" w:hAnsi="Cambria Math"/>
              </w:rPr>
              <m:t>V</m:t>
            </m:r>
            <m:ctrlPr>
              <w:rPr>
                <w:rFonts w:ascii="Cambria Math" w:hAnsi="Cambria Math"/>
                <w:i/>
                <w:kern w:val="2"/>
                <w:szCs w:val="21"/>
              </w:rPr>
            </m:ctrlPr>
          </m:e>
          <m:sub>
            <m:r>
              <m:rPr/>
              <w:rPr>
                <w:rFonts w:ascii="Cambria Math" w:hAnsi="Cambria Math"/>
              </w:rPr>
              <m:t>1</m:t>
            </m:r>
            <m:ctrlPr>
              <w:rPr>
                <w:rFonts w:ascii="Cambria Math" w:hAnsi="Cambria Math"/>
                <w:i/>
                <w:kern w:val="2"/>
                <w:szCs w:val="21"/>
              </w:rPr>
            </m:ctrlPr>
          </m:sub>
        </m:sSub>
      </m:oMath>
      <w:r>
        <w:rPr>
          <w:rFonts w:hint="eastAsia"/>
        </w:rPr>
        <w:t>——轮廓线与直线AB的最大偏离量，单位为mm；</w:t>
      </w:r>
    </w:p>
    <w:p w14:paraId="43728830">
      <w:pPr>
        <w:pStyle w:val="62"/>
        <w:ind w:firstLine="420"/>
      </w:pPr>
      <m:oMath>
        <m:r>
          <m:rPr/>
          <w:rPr>
            <w:rFonts w:ascii="Cambria Math" w:hAnsi="Cambria Math"/>
          </w:rPr>
          <m:t>∆</m:t>
        </m:r>
        <m:sSub>
          <m:sSubPr>
            <m:ctrlPr>
              <w:rPr>
                <w:rFonts w:ascii="Cambria Math" w:hAnsi="Cambria Math"/>
                <w:i/>
                <w:kern w:val="2"/>
                <w:szCs w:val="21"/>
              </w:rPr>
            </m:ctrlPr>
          </m:sSubPr>
          <m:e>
            <m:r>
              <m:rPr/>
              <w:rPr>
                <w:rFonts w:ascii="Cambria Math" w:hAnsi="Cambria Math"/>
              </w:rPr>
              <m:t>V</m:t>
            </m:r>
            <m:ctrlPr>
              <w:rPr>
                <w:rFonts w:ascii="Cambria Math" w:hAnsi="Cambria Math"/>
                <w:i/>
                <w:kern w:val="2"/>
                <w:szCs w:val="21"/>
              </w:rPr>
            </m:ctrlPr>
          </m:e>
          <m:sub>
            <m:r>
              <m:rPr/>
              <w:rPr>
                <w:rFonts w:ascii="Cambria Math" w:hAnsi="Cambria Math"/>
              </w:rPr>
              <m:t>2</m:t>
            </m:r>
            <m:ctrlPr>
              <w:rPr>
                <w:rFonts w:ascii="Cambria Math" w:hAnsi="Cambria Math"/>
                <w:i/>
                <w:kern w:val="2"/>
                <w:szCs w:val="21"/>
              </w:rPr>
            </m:ctrlPr>
          </m:sub>
        </m:sSub>
      </m:oMath>
      <w:r>
        <w:rPr>
          <w:rFonts w:hint="eastAsia"/>
        </w:rPr>
        <w:t>——轮廓线与直线CD的最大偏离量；</w:t>
      </w:r>
    </w:p>
    <w:p w14:paraId="1BDF7381">
      <w:pPr>
        <w:pStyle w:val="62"/>
        <w:ind w:firstLine="420"/>
      </w:pPr>
      <m:oMath>
        <m:sSub>
          <m:sSubPr>
            <m:ctrlPr>
              <w:rPr>
                <w:rFonts w:ascii="Cambria Math" w:hAnsi="Cambria Math"/>
                <w:i/>
                <w:kern w:val="2"/>
                <w:szCs w:val="21"/>
              </w:rPr>
            </m:ctrlPr>
          </m:sSubPr>
          <m:e>
            <m:r>
              <m:rPr/>
              <w:rPr>
                <w:rFonts w:ascii="Cambria Math" w:hAnsi="Cambria Math"/>
              </w:rPr>
              <m:t>V</m:t>
            </m:r>
            <m:ctrlPr>
              <w:rPr>
                <w:rFonts w:ascii="Cambria Math" w:hAnsi="Cambria Math"/>
                <w:i/>
                <w:kern w:val="2"/>
                <w:szCs w:val="21"/>
              </w:rPr>
            </m:ctrlPr>
          </m:e>
          <m:sub>
            <m:r>
              <m:rPr/>
              <w:rPr>
                <w:rFonts w:ascii="Cambria Math" w:hAnsi="Cambria Math"/>
              </w:rPr>
              <m:t>1</m:t>
            </m:r>
            <m:ctrlPr>
              <w:rPr>
                <w:rFonts w:ascii="Cambria Math" w:hAnsi="Cambria Math"/>
                <w:i/>
                <w:kern w:val="2"/>
                <w:szCs w:val="21"/>
              </w:rPr>
            </m:ctrlPr>
          </m:sub>
        </m:sSub>
      </m:oMath>
      <w:r>
        <w:rPr>
          <w:rFonts w:hint="eastAsia"/>
        </w:rPr>
        <w:t>——直线AD的长度，单位为mm；</w:t>
      </w:r>
    </w:p>
    <w:p w14:paraId="665EDC13">
      <w:pPr>
        <w:pStyle w:val="62"/>
        <w:ind w:firstLine="420"/>
      </w:pPr>
      <m:oMath>
        <m:sSub>
          <m:sSubPr>
            <m:ctrlPr>
              <w:rPr>
                <w:rFonts w:ascii="Cambria Math" w:hAnsi="Cambria Math"/>
                <w:i/>
                <w:kern w:val="2"/>
                <w:szCs w:val="21"/>
              </w:rPr>
            </m:ctrlPr>
          </m:sSubPr>
          <m:e>
            <m:r>
              <m:rPr/>
              <w:rPr>
                <w:rFonts w:ascii="Cambria Math" w:hAnsi="Cambria Math"/>
              </w:rPr>
              <m:t>V</m:t>
            </m:r>
            <m:ctrlPr>
              <w:rPr>
                <w:rFonts w:ascii="Cambria Math" w:hAnsi="Cambria Math"/>
                <w:i/>
                <w:kern w:val="2"/>
                <w:szCs w:val="21"/>
              </w:rPr>
            </m:ctrlPr>
          </m:e>
          <m:sub>
            <m:r>
              <m:rPr/>
              <w:rPr>
                <w:rFonts w:ascii="Cambria Math" w:hAnsi="Cambria Math"/>
              </w:rPr>
              <m:t>2</m:t>
            </m:r>
            <m:ctrlPr>
              <w:rPr>
                <w:rFonts w:ascii="Cambria Math" w:hAnsi="Cambria Math"/>
                <w:i/>
                <w:kern w:val="2"/>
                <w:szCs w:val="21"/>
              </w:rPr>
            </m:ctrlPr>
          </m:sub>
        </m:sSub>
      </m:oMath>
      <w:r>
        <w:rPr>
          <w:rFonts w:hint="eastAsia"/>
        </w:rPr>
        <w:t>——直线BC的长度，单位为mm；</w:t>
      </w:r>
    </w:p>
    <w:p w14:paraId="602DB84A">
      <w:pPr>
        <w:pStyle w:val="62"/>
        <w:ind w:firstLine="420"/>
        <w:rPr>
          <w:szCs w:val="21"/>
        </w:rPr>
      </w:pPr>
      <m:oMath>
        <m:sSub>
          <m:sSubPr>
            <m:ctrlPr>
              <w:rPr>
                <w:rFonts w:ascii="Cambria Math" w:hAnsi="Cambria Math"/>
                <w:i/>
                <w:kern w:val="2"/>
                <w:szCs w:val="21"/>
              </w:rPr>
            </m:ctrlPr>
          </m:sSubPr>
          <m:e>
            <m:r>
              <m:rPr/>
              <w:rPr>
                <w:rFonts w:ascii="Cambria Math" w:hAnsi="Cambria Math"/>
              </w:rPr>
              <m:t>C</m:t>
            </m:r>
            <m:ctrlPr>
              <w:rPr>
                <w:rFonts w:ascii="Cambria Math" w:hAnsi="Cambria Math"/>
                <w:i/>
                <w:kern w:val="2"/>
                <w:szCs w:val="21"/>
              </w:rPr>
            </m:ctrlPr>
          </m:e>
          <m:sub>
            <m:r>
              <m:rPr/>
              <w:rPr>
                <w:rFonts w:ascii="Cambria Math" w:hAnsi="Cambria Math"/>
              </w:rPr>
              <m:t>V</m:t>
            </m:r>
            <m:ctrlPr>
              <w:rPr>
                <w:rFonts w:ascii="Cambria Math" w:hAnsi="Cambria Math"/>
                <w:i/>
                <w:kern w:val="2"/>
                <w:szCs w:val="21"/>
              </w:rPr>
            </m:ctrlPr>
          </m:sub>
        </m:sSub>
      </m:oMath>
      <w:r>
        <w:rPr>
          <w:rFonts w:hint="eastAsia"/>
          <w:szCs w:val="21"/>
        </w:rPr>
        <w:t>——</w:t>
      </w:r>
      <w:r>
        <w:rPr>
          <w:rFonts w:hint="eastAsia"/>
        </w:rPr>
        <w:t>垂直方向上的畸变失真；</w:t>
      </w:r>
    </w:p>
    <w:p w14:paraId="5503E498">
      <w:pPr>
        <w:pStyle w:val="62"/>
        <w:ind w:firstLine="420"/>
      </w:pPr>
      <m:oMath>
        <m:r>
          <m:rPr/>
          <w:rPr>
            <w:rFonts w:ascii="Cambria Math" w:hAnsi="Cambria Math"/>
          </w:rPr>
          <m:t>∆</m:t>
        </m:r>
        <m:sSub>
          <m:sSubPr>
            <m:ctrlPr>
              <w:rPr>
                <w:rFonts w:ascii="Cambria Math" w:hAnsi="Cambria Math"/>
                <w:i/>
                <w:kern w:val="2"/>
                <w:szCs w:val="21"/>
              </w:rPr>
            </m:ctrlPr>
          </m:sSubPr>
          <m:e>
            <m:r>
              <m:rPr/>
              <w:rPr>
                <w:rFonts w:ascii="Cambria Math" w:hAnsi="Cambria Math"/>
              </w:rPr>
              <m:t>H</m:t>
            </m:r>
            <m:ctrlPr>
              <w:rPr>
                <w:rFonts w:ascii="Cambria Math" w:hAnsi="Cambria Math"/>
                <w:i/>
                <w:kern w:val="2"/>
                <w:szCs w:val="21"/>
              </w:rPr>
            </m:ctrlPr>
          </m:e>
          <m:sub>
            <m:r>
              <m:rPr/>
              <w:rPr>
                <w:rFonts w:ascii="Cambria Math" w:hAnsi="Cambria Math"/>
              </w:rPr>
              <m:t>1</m:t>
            </m:r>
            <m:ctrlPr>
              <w:rPr>
                <w:rFonts w:ascii="Cambria Math" w:hAnsi="Cambria Math"/>
                <w:i/>
                <w:kern w:val="2"/>
                <w:szCs w:val="21"/>
              </w:rPr>
            </m:ctrlPr>
          </m:sub>
        </m:sSub>
      </m:oMath>
      <w:r>
        <w:rPr>
          <w:rFonts w:hint="eastAsia"/>
        </w:rPr>
        <w:t>——轮廓线与直线AD的最大偏离量；</w:t>
      </w:r>
    </w:p>
    <w:p w14:paraId="116582C6">
      <w:pPr>
        <w:pStyle w:val="62"/>
        <w:ind w:firstLine="420"/>
      </w:pPr>
      <m:oMath>
        <m:sSub>
          <m:sSubPr>
            <m:ctrlPr>
              <w:rPr>
                <w:rFonts w:ascii="Cambria Math" w:hAnsi="Cambria Math"/>
                <w:i/>
                <w:kern w:val="2"/>
                <w:szCs w:val="21"/>
              </w:rPr>
            </m:ctrlPr>
          </m:sSubPr>
          <m:e>
            <m:r>
              <m:rPr/>
              <w:rPr>
                <w:rFonts w:ascii="Cambria Math" w:hAnsi="Cambria Math"/>
              </w:rPr>
              <m:t>∆H</m:t>
            </m:r>
            <m:ctrlPr>
              <w:rPr>
                <w:rFonts w:ascii="Cambria Math" w:hAnsi="Cambria Math"/>
                <w:i/>
                <w:kern w:val="2"/>
                <w:szCs w:val="21"/>
              </w:rPr>
            </m:ctrlPr>
          </m:e>
          <m:sub>
            <m:r>
              <m:rPr/>
              <w:rPr>
                <w:rFonts w:ascii="Cambria Math" w:hAnsi="Cambria Math"/>
              </w:rPr>
              <m:t>2</m:t>
            </m:r>
            <m:ctrlPr>
              <w:rPr>
                <w:rFonts w:ascii="Cambria Math" w:hAnsi="Cambria Math"/>
                <w:i/>
                <w:kern w:val="2"/>
                <w:szCs w:val="21"/>
              </w:rPr>
            </m:ctrlPr>
          </m:sub>
        </m:sSub>
      </m:oMath>
      <w:r>
        <w:rPr>
          <w:rFonts w:hint="eastAsia"/>
        </w:rPr>
        <w:t>——轮廓线与直线BC的最大偏离量；</w:t>
      </w:r>
    </w:p>
    <w:p w14:paraId="7E569A73">
      <w:pPr>
        <w:pStyle w:val="62"/>
        <w:ind w:firstLine="420"/>
      </w:pPr>
      <m:oMath>
        <m:sSub>
          <m:sSubPr>
            <m:ctrlPr>
              <w:rPr>
                <w:rFonts w:ascii="Cambria Math" w:hAnsi="Cambria Math"/>
                <w:i/>
                <w:kern w:val="2"/>
                <w:szCs w:val="21"/>
              </w:rPr>
            </m:ctrlPr>
          </m:sSubPr>
          <m:e>
            <m:r>
              <m:rPr/>
              <w:rPr>
                <w:rFonts w:ascii="Cambria Math" w:hAnsi="Cambria Math"/>
                <w:kern w:val="2"/>
                <w:szCs w:val="21"/>
              </w:rPr>
              <m:t>H</m:t>
            </m:r>
            <m:ctrlPr>
              <w:rPr>
                <w:rFonts w:ascii="Cambria Math" w:hAnsi="Cambria Math"/>
                <w:i/>
                <w:kern w:val="2"/>
                <w:szCs w:val="21"/>
              </w:rPr>
            </m:ctrlPr>
          </m:e>
          <m:sub>
            <m:r>
              <m:rPr/>
              <w:rPr>
                <w:rFonts w:ascii="Cambria Math" w:hAnsi="Cambria Math"/>
              </w:rPr>
              <m:t>1</m:t>
            </m:r>
            <m:ctrlPr>
              <w:rPr>
                <w:rFonts w:ascii="Cambria Math" w:hAnsi="Cambria Math"/>
                <w:i/>
                <w:kern w:val="2"/>
                <w:szCs w:val="21"/>
              </w:rPr>
            </m:ctrlPr>
          </m:sub>
        </m:sSub>
      </m:oMath>
      <w:r>
        <w:rPr>
          <w:rFonts w:hint="eastAsia"/>
        </w:rPr>
        <w:t>——直线AB的长度，单位为mm；</w:t>
      </w:r>
    </w:p>
    <w:p w14:paraId="5B703AA4">
      <w:pPr>
        <w:pStyle w:val="62"/>
        <w:ind w:firstLine="420"/>
      </w:pPr>
      <m:oMath>
        <m:sSub>
          <m:sSubPr>
            <m:ctrlPr>
              <w:rPr>
                <w:rFonts w:ascii="Cambria Math" w:hAnsi="Cambria Math"/>
                <w:i/>
                <w:kern w:val="2"/>
                <w:szCs w:val="21"/>
              </w:rPr>
            </m:ctrlPr>
          </m:sSubPr>
          <m:e>
            <m:r>
              <m:rPr/>
              <w:rPr>
                <w:rFonts w:ascii="Cambria Math" w:hAnsi="Cambria Math"/>
              </w:rPr>
              <m:t>H</m:t>
            </m:r>
            <m:ctrlPr>
              <w:rPr>
                <w:rFonts w:ascii="Cambria Math" w:hAnsi="Cambria Math"/>
                <w:i/>
                <w:kern w:val="2"/>
                <w:szCs w:val="21"/>
              </w:rPr>
            </m:ctrlPr>
          </m:e>
          <m:sub>
            <m:r>
              <m:rPr/>
              <w:rPr>
                <w:rFonts w:ascii="Cambria Math" w:hAnsi="Cambria Math"/>
              </w:rPr>
              <m:t>2</m:t>
            </m:r>
            <m:ctrlPr>
              <w:rPr>
                <w:rFonts w:ascii="Cambria Math" w:hAnsi="Cambria Math"/>
                <w:i/>
                <w:kern w:val="2"/>
                <w:szCs w:val="21"/>
              </w:rPr>
            </m:ctrlPr>
          </m:sub>
        </m:sSub>
      </m:oMath>
      <w:r>
        <w:rPr>
          <w:rFonts w:hint="eastAsia"/>
        </w:rPr>
        <w:t>——直线CD的长度，单位为mm；</w:t>
      </w:r>
    </w:p>
    <w:p w14:paraId="7B8691FF">
      <w:pPr>
        <w:pStyle w:val="185"/>
      </w:pPr>
      <w:r>
        <w:rPr>
          <w:rFonts w:hint="eastAsia"/>
        </w:rPr>
        <w:t>测量方法参考自</w:t>
      </w:r>
      <w:r>
        <w:t>SJ/T 11298-2003</w:t>
      </w:r>
      <w:r>
        <w:rPr>
          <w:rFonts w:hint="eastAsia"/>
        </w:rPr>
        <w:t>中的5.5.8。</w:t>
      </w:r>
    </w:p>
    <w:p w14:paraId="749BDD78">
      <w:pPr>
        <w:pStyle w:val="120"/>
        <w:numPr>
          <w:ilvl w:val="0"/>
          <w:numId w:val="0"/>
        </w:numPr>
        <w:spacing w:before="120" w:after="120"/>
        <w:rPr>
          <w:rFonts w:hint="eastAsia" w:hAnsi="黑体"/>
          <w:sz w:val="20"/>
        </w:rPr>
      </w:pPr>
      <w:r>
        <w:rPr>
          <w:rFonts w:hAnsi="黑体"/>
          <w:sz w:val="20"/>
        </w:rPr>
        <w:drawing>
          <wp:inline distT="0" distB="0" distL="0" distR="0">
            <wp:extent cx="4472940" cy="2948305"/>
            <wp:effectExtent l="0" t="0" r="3810" b="4445"/>
            <wp:docPr id="126854266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542663" name="图片 1"/>
                    <pic:cNvPicPr>
                      <a:picLocks noChangeAspect="1"/>
                    </pic:cNvPicPr>
                  </pic:nvPicPr>
                  <pic:blipFill>
                    <a:blip r:embed="rId19"/>
                    <a:stretch>
                      <a:fillRect/>
                    </a:stretch>
                  </pic:blipFill>
                  <pic:spPr>
                    <a:xfrm>
                      <a:off x="0" y="0"/>
                      <a:ext cx="4476907" cy="2951102"/>
                    </a:xfrm>
                    <a:prstGeom prst="rect">
                      <a:avLst/>
                    </a:prstGeom>
                  </pic:spPr>
                </pic:pic>
              </a:graphicData>
            </a:graphic>
          </wp:inline>
        </w:drawing>
      </w:r>
    </w:p>
    <w:p w14:paraId="1A8C2BEC">
      <w:pPr>
        <w:pStyle w:val="120"/>
        <w:spacing w:before="120" w:after="120"/>
      </w:pPr>
      <w:r>
        <w:rPr>
          <w:rFonts w:hint="eastAsia"/>
        </w:rPr>
        <w:t>主视场畸变测量示意图</w:t>
      </w:r>
    </w:p>
    <w:p w14:paraId="0E7DC2CC">
      <w:pPr>
        <w:pStyle w:val="71"/>
        <w:spacing w:before="120" w:after="120"/>
      </w:pPr>
      <w:bookmarkStart w:id="96" w:name="_Toc5380"/>
      <w:r>
        <w:rPr>
          <w:rFonts w:hint="eastAsia"/>
        </w:rPr>
        <w:t>中心点色彩还原测量</w:t>
      </w:r>
      <w:bookmarkEnd w:id="96"/>
    </w:p>
    <w:p w14:paraId="09A6B938">
      <w:pPr>
        <w:pStyle w:val="62"/>
        <w:ind w:firstLine="420"/>
      </w:pPr>
      <w:r>
        <w:rPr>
          <w:rFonts w:hint="eastAsia"/>
        </w:rPr>
        <w:t>中心点色度坐标值测量步骤如下：</w:t>
      </w:r>
    </w:p>
    <w:p w14:paraId="5C1C5A28">
      <w:pPr>
        <w:pStyle w:val="180"/>
        <w:numPr>
          <w:ilvl w:val="0"/>
          <w:numId w:val="35"/>
        </w:numPr>
      </w:pPr>
      <w:r>
        <w:rPr>
          <w:rFonts w:hint="eastAsia"/>
        </w:rPr>
        <w:t>将</w:t>
      </w:r>
      <w:r>
        <w:rPr>
          <w:rFonts w:hint="eastAsia" w:hAnsi="宋体"/>
        </w:rPr>
        <w:t>被测设备</w:t>
      </w:r>
      <w:r>
        <w:rPr>
          <w:rFonts w:hint="eastAsia"/>
        </w:rPr>
        <w:t>与成像式亮度计置于暗室中，将成像式亮度计放置在</w:t>
      </w:r>
      <w:r>
        <w:rPr>
          <w:rFonts w:hint="eastAsia" w:hAnsi="宋体"/>
        </w:rPr>
        <w:t>被测设备</w:t>
      </w:r>
      <w:r>
        <w:rPr>
          <w:rFonts w:hint="eastAsia"/>
        </w:rPr>
        <w:t>的出瞳位置；</w:t>
      </w:r>
    </w:p>
    <w:p w14:paraId="46BB8EF1">
      <w:pPr>
        <w:pStyle w:val="180"/>
        <w:numPr>
          <w:ilvl w:val="0"/>
          <w:numId w:val="35"/>
        </w:numPr>
      </w:pPr>
      <w:r>
        <w:rPr>
          <w:rFonts w:hint="eastAsia"/>
        </w:rPr>
        <w:t>启动</w:t>
      </w:r>
      <w:r>
        <w:rPr>
          <w:rFonts w:hint="eastAsia" w:hAnsi="宋体"/>
        </w:rPr>
        <w:t>被测设备</w:t>
      </w:r>
      <w:r>
        <w:rPr>
          <w:rFonts w:hint="eastAsia"/>
        </w:rPr>
        <w:t>，分别在</w:t>
      </w:r>
      <w:r>
        <w:rPr>
          <w:rFonts w:hint="eastAsia" w:hAnsi="宋体"/>
        </w:rPr>
        <w:t>被测设备的屏幕上</w:t>
      </w:r>
      <w:r>
        <w:rPr>
          <w:rFonts w:hint="eastAsia"/>
        </w:rPr>
        <w:t>显示白场测量信号、红场测量信号、绿场测量信号、蓝场测量信号；</w:t>
      </w:r>
    </w:p>
    <w:p w14:paraId="2467884C">
      <w:pPr>
        <w:pStyle w:val="180"/>
        <w:numPr>
          <w:ilvl w:val="0"/>
          <w:numId w:val="35"/>
        </w:numPr>
      </w:pPr>
      <w:r>
        <w:rPr>
          <w:rFonts w:hint="eastAsia"/>
        </w:rPr>
        <w:t>用成像式亮度计分别测量并记录中心点在CIE 1931标准色度系统中的色度坐标</w:t>
      </w:r>
      <m:oMath>
        <m:d>
          <m:dPr>
            <m:ctrlPr>
              <w:rPr>
                <w:rFonts w:ascii="Cambria Math" w:hAnsi="Cambria Math"/>
                <w:i/>
                <w:kern w:val="2"/>
                <w:szCs w:val="21"/>
              </w:rPr>
            </m:ctrlPr>
          </m:dPr>
          <m:e>
            <m:r>
              <m:rPr/>
              <w:rPr>
                <w:rFonts w:hint="eastAsia" w:ascii="Cambria Math" w:hAnsi="Cambria Math"/>
              </w:rPr>
              <m:t>x</m:t>
            </m:r>
            <m:r>
              <m:rPr/>
              <w:rPr>
                <w:rFonts w:ascii="Cambria Math" w:hAnsi="Cambria Math"/>
              </w:rPr>
              <m:t>,y</m:t>
            </m:r>
            <m:ctrlPr>
              <w:rPr>
                <w:rFonts w:ascii="Cambria Math" w:hAnsi="Cambria Math"/>
                <w:i/>
                <w:kern w:val="2"/>
                <w:szCs w:val="21"/>
              </w:rPr>
            </m:ctrlPr>
          </m:e>
        </m:d>
      </m:oMath>
      <w:r>
        <w:rPr>
          <w:rFonts w:hint="eastAsia"/>
        </w:rPr>
        <w:t>。</w:t>
      </w:r>
    </w:p>
    <w:p w14:paraId="32E48FCC">
      <w:pPr>
        <w:pStyle w:val="71"/>
        <w:spacing w:before="120" w:after="120"/>
      </w:pPr>
      <w:bookmarkStart w:id="97" w:name="_Toc8582"/>
      <w:r>
        <w:rPr>
          <w:rFonts w:hint="eastAsia"/>
        </w:rPr>
        <w:t>色度均匀性测量</w:t>
      </w:r>
      <w:bookmarkEnd w:id="97"/>
    </w:p>
    <w:p w14:paraId="056D43D4">
      <w:pPr>
        <w:pStyle w:val="62"/>
        <w:ind w:firstLine="420"/>
      </w:pPr>
      <w:r>
        <w:rPr>
          <w:rFonts w:hint="eastAsia"/>
        </w:rPr>
        <w:t>色度均匀性测量步骤如下：</w:t>
      </w:r>
    </w:p>
    <w:p w14:paraId="4BCFD0C4">
      <w:pPr>
        <w:pStyle w:val="180"/>
        <w:numPr>
          <w:ilvl w:val="0"/>
          <w:numId w:val="36"/>
        </w:numPr>
      </w:pPr>
      <w:bookmarkStart w:id="98" w:name="OLE_LINK11"/>
      <w:r>
        <w:rPr>
          <w:rFonts w:hint="eastAsia"/>
        </w:rPr>
        <w:t>将</w:t>
      </w:r>
      <w:r>
        <w:rPr>
          <w:rFonts w:hint="eastAsia" w:hAnsi="宋体"/>
        </w:rPr>
        <w:t>被测</w:t>
      </w:r>
      <w:bookmarkEnd w:id="98"/>
      <w:r>
        <w:rPr>
          <w:rFonts w:hint="eastAsia" w:hAnsi="宋体"/>
        </w:rPr>
        <w:t>设备</w:t>
      </w:r>
      <w:r>
        <w:rPr>
          <w:rFonts w:hint="eastAsia"/>
        </w:rPr>
        <w:t>与成像式亮度计置于暗室中，将成像式亮度计放置在</w:t>
      </w:r>
      <w:r>
        <w:rPr>
          <w:rFonts w:hint="eastAsia" w:hAnsi="宋体"/>
        </w:rPr>
        <w:t>被测设备</w:t>
      </w:r>
      <w:r>
        <w:rPr>
          <w:rFonts w:hint="eastAsia"/>
        </w:rPr>
        <w:t>的出瞳位置；</w:t>
      </w:r>
    </w:p>
    <w:p w14:paraId="7E88C43E">
      <w:pPr>
        <w:pStyle w:val="180"/>
        <w:numPr>
          <w:ilvl w:val="0"/>
          <w:numId w:val="36"/>
        </w:numPr>
      </w:pPr>
      <w:r>
        <w:rPr>
          <w:rFonts w:hint="eastAsia"/>
        </w:rPr>
        <w:t>启动</w:t>
      </w:r>
      <w:r>
        <w:rPr>
          <w:rFonts w:hint="eastAsia" w:hAnsi="宋体"/>
        </w:rPr>
        <w:t>被测设备</w:t>
      </w:r>
      <w:r>
        <w:rPr>
          <w:rFonts w:hint="eastAsia"/>
        </w:rPr>
        <w:t>，在被测设备的屏幕上显示白场测量信号；</w:t>
      </w:r>
    </w:p>
    <w:p w14:paraId="5FDD84F1">
      <w:pPr>
        <w:pStyle w:val="180"/>
        <w:numPr>
          <w:ilvl w:val="0"/>
          <w:numId w:val="36"/>
        </w:numPr>
      </w:pPr>
      <w:r>
        <w:rPr>
          <w:rFonts w:hint="eastAsia"/>
        </w:rPr>
        <w:t>采用GB/T 7921—2008第4章定义的色度坐标</w:t>
      </w:r>
      <m:oMath>
        <m:d>
          <m:dPr>
            <m:ctrlPr>
              <w:rPr>
                <w:rFonts w:ascii="Cambria Math" w:hAnsi="Cambria Math"/>
                <w:i/>
                <w:kern w:val="2"/>
                <w:szCs w:val="21"/>
              </w:rPr>
            </m:ctrlPr>
          </m:dPr>
          <m:e>
            <m:sSup>
              <m:sSupPr>
                <m:ctrlPr>
                  <w:rPr>
                    <w:rFonts w:ascii="Cambria Math" w:hAnsi="Cambria Math"/>
                    <w:i/>
                    <w:kern w:val="2"/>
                    <w:szCs w:val="21"/>
                  </w:rPr>
                </m:ctrlPr>
              </m:sSupPr>
              <m:e>
                <m:r>
                  <m:rPr/>
                  <w:rPr>
                    <w:rFonts w:hint="eastAsia" w:ascii="Cambria Math" w:hAnsi="Cambria Math"/>
                  </w:rPr>
                  <m:t>u</m:t>
                </m:r>
                <m:ctrlPr>
                  <w:rPr>
                    <w:rFonts w:ascii="Cambria Math" w:hAnsi="Cambria Math"/>
                    <w:i/>
                    <w:kern w:val="2"/>
                    <w:szCs w:val="21"/>
                  </w:rPr>
                </m:ctrlPr>
              </m:e>
              <m:sup>
                <m:r>
                  <m:rPr/>
                  <w:rPr>
                    <w:rFonts w:ascii="Cambria Math" w:hAnsi="Cambria Math"/>
                  </w:rPr>
                  <m:t>'</m:t>
                </m:r>
                <m:ctrlPr>
                  <w:rPr>
                    <w:rFonts w:ascii="Cambria Math" w:hAnsi="Cambria Math"/>
                    <w:i/>
                    <w:kern w:val="2"/>
                    <w:szCs w:val="21"/>
                  </w:rPr>
                </m:ctrlPr>
              </m:sup>
            </m:sSup>
            <m:r>
              <m:rPr/>
              <w:rPr>
                <w:rFonts w:ascii="Cambria Math" w:hAnsi="Cambria Math"/>
              </w:rPr>
              <m:t>,</m:t>
            </m:r>
            <m:sSup>
              <m:sSupPr>
                <m:ctrlPr>
                  <w:rPr>
                    <w:rFonts w:ascii="Cambria Math" w:hAnsi="Cambria Math"/>
                    <w:i/>
                    <w:kern w:val="2"/>
                    <w:szCs w:val="21"/>
                  </w:rPr>
                </m:ctrlPr>
              </m:sSupPr>
              <m:e>
                <m:r>
                  <m:rPr/>
                  <w:rPr>
                    <w:rFonts w:ascii="Cambria Math" w:hAnsi="Cambria Math"/>
                  </w:rPr>
                  <m:t>v</m:t>
                </m:r>
                <m:ctrlPr>
                  <w:rPr>
                    <w:rFonts w:ascii="Cambria Math" w:hAnsi="Cambria Math"/>
                    <w:i/>
                    <w:kern w:val="2"/>
                    <w:szCs w:val="21"/>
                  </w:rPr>
                </m:ctrlPr>
              </m:e>
              <m:sup>
                <m:r>
                  <m:rPr/>
                  <w:rPr>
                    <w:rFonts w:ascii="Cambria Math" w:hAnsi="Cambria Math"/>
                  </w:rPr>
                  <m:t>'</m:t>
                </m:r>
                <m:ctrlPr>
                  <w:rPr>
                    <w:rFonts w:ascii="Cambria Math" w:hAnsi="Cambria Math"/>
                    <w:i/>
                    <w:kern w:val="2"/>
                    <w:szCs w:val="21"/>
                  </w:rPr>
                </m:ctrlPr>
              </m:sup>
            </m:sSup>
            <m:ctrlPr>
              <w:rPr>
                <w:rFonts w:ascii="Cambria Math" w:hAnsi="Cambria Math"/>
                <w:i/>
                <w:kern w:val="2"/>
                <w:szCs w:val="21"/>
              </w:rPr>
            </m:ctrlPr>
          </m:e>
        </m:d>
      </m:oMath>
      <w:r>
        <w:rPr>
          <w:rFonts w:hint="eastAsia"/>
        </w:rPr>
        <w:t>，使用成像式亮度计分别测量图6中1</w:t>
      </w:r>
      <w:r>
        <w:rPr>
          <w:rFonts w:hint="eastAsia" w:hAnsi="宋体"/>
        </w:rPr>
        <w:t>～</w:t>
      </w:r>
      <w:r>
        <w:rPr>
          <w:rFonts w:hint="eastAsia"/>
        </w:rPr>
        <w:t>9点的色度坐标</w:t>
      </w:r>
      <m:oMath>
        <m:d>
          <m:dPr>
            <m:ctrlPr>
              <w:rPr>
                <w:rFonts w:ascii="Cambria Math" w:hAnsi="Cambria Math"/>
                <w:i/>
                <w:kern w:val="2"/>
                <w:szCs w:val="21"/>
              </w:rPr>
            </m:ctrlPr>
          </m:dPr>
          <m:e>
            <m:sSup>
              <m:sSupPr>
                <m:ctrlPr>
                  <w:rPr>
                    <w:rFonts w:ascii="Cambria Math" w:hAnsi="Cambria Math"/>
                    <w:i/>
                    <w:kern w:val="2"/>
                    <w:szCs w:val="21"/>
                  </w:rPr>
                </m:ctrlPr>
              </m:sSupPr>
              <m:e>
                <m:r>
                  <m:rPr/>
                  <w:rPr>
                    <w:rFonts w:hint="eastAsia" w:ascii="Cambria Math" w:hAnsi="Cambria Math"/>
                  </w:rPr>
                  <m:t>u</m:t>
                </m:r>
                <m:ctrlPr>
                  <w:rPr>
                    <w:rFonts w:ascii="Cambria Math" w:hAnsi="Cambria Math"/>
                    <w:i/>
                    <w:kern w:val="2"/>
                    <w:szCs w:val="21"/>
                  </w:rPr>
                </m:ctrlPr>
              </m:e>
              <m:sup>
                <m:r>
                  <m:rPr/>
                  <w:rPr>
                    <w:rFonts w:ascii="Cambria Math" w:hAnsi="Cambria Math"/>
                  </w:rPr>
                  <m:t>'</m:t>
                </m:r>
                <m:ctrlPr>
                  <w:rPr>
                    <w:rFonts w:ascii="Cambria Math" w:hAnsi="Cambria Math"/>
                    <w:i/>
                    <w:kern w:val="2"/>
                    <w:szCs w:val="21"/>
                  </w:rPr>
                </m:ctrlPr>
              </m:sup>
            </m:sSup>
            <m:r>
              <m:rPr/>
              <w:rPr>
                <w:rFonts w:ascii="Cambria Math" w:hAnsi="Cambria Math"/>
              </w:rPr>
              <m:t>,</m:t>
            </m:r>
            <m:sSup>
              <m:sSupPr>
                <m:ctrlPr>
                  <w:rPr>
                    <w:rFonts w:ascii="Cambria Math" w:hAnsi="Cambria Math"/>
                    <w:i/>
                    <w:kern w:val="2"/>
                    <w:szCs w:val="21"/>
                  </w:rPr>
                </m:ctrlPr>
              </m:sSupPr>
              <m:e>
                <m:r>
                  <m:rPr/>
                  <w:rPr>
                    <w:rFonts w:ascii="Cambria Math" w:hAnsi="Cambria Math"/>
                  </w:rPr>
                  <m:t>v</m:t>
                </m:r>
                <m:ctrlPr>
                  <w:rPr>
                    <w:rFonts w:ascii="Cambria Math" w:hAnsi="Cambria Math"/>
                    <w:i/>
                    <w:kern w:val="2"/>
                    <w:szCs w:val="21"/>
                  </w:rPr>
                </m:ctrlPr>
              </m:e>
              <m:sup>
                <m:r>
                  <m:rPr/>
                  <w:rPr>
                    <w:rFonts w:ascii="Cambria Math" w:hAnsi="Cambria Math"/>
                  </w:rPr>
                  <m:t>'</m:t>
                </m:r>
                <m:ctrlPr>
                  <w:rPr>
                    <w:rFonts w:ascii="Cambria Math" w:hAnsi="Cambria Math"/>
                    <w:i/>
                    <w:kern w:val="2"/>
                    <w:szCs w:val="21"/>
                  </w:rPr>
                </m:ctrlPr>
              </m:sup>
            </m:sSup>
            <m:ctrlPr>
              <w:rPr>
                <w:rFonts w:ascii="Cambria Math" w:hAnsi="Cambria Math"/>
                <w:i/>
                <w:kern w:val="2"/>
                <w:szCs w:val="21"/>
              </w:rPr>
            </m:ctrlPr>
          </m:e>
        </m:d>
      </m:oMath>
      <w:r>
        <w:rPr>
          <w:rFonts w:hint="eastAsia"/>
        </w:rPr>
        <w:t>；</w:t>
      </w:r>
    </w:p>
    <w:p w14:paraId="50420CA8">
      <w:pPr>
        <w:pStyle w:val="180"/>
        <w:numPr>
          <w:ilvl w:val="0"/>
          <w:numId w:val="36"/>
        </w:numPr>
      </w:pPr>
      <w:r>
        <w:rPr>
          <w:rFonts w:hint="eastAsia"/>
        </w:rPr>
        <w:t>按照公式（5）计算色度误差，取最大值为</w:t>
      </w:r>
      <w:r>
        <w:rPr>
          <w:rFonts w:hint="eastAsia" w:hAnsi="宋体"/>
        </w:rPr>
        <w:t>被测设备</w:t>
      </w:r>
      <w:r>
        <w:rPr>
          <w:rFonts w:hint="eastAsia"/>
        </w:rPr>
        <w:t>的色度均匀性；</w:t>
      </w:r>
    </w:p>
    <w:p w14:paraId="10EC7395">
      <w:pPr>
        <w:pStyle w:val="119"/>
        <w:rPr>
          <w:rFonts w:hint="eastAsia"/>
        </w:rPr>
      </w:pPr>
      <w:r>
        <w:rPr>
          <w:rFonts w:hint="eastAsia"/>
        </w:rPr>
        <w:tab/>
      </w:r>
      <m:oMath>
        <m:r>
          <m:rPr/>
          <w:rPr>
            <w:rFonts w:ascii="Cambria Math" w:hAnsi="Cambria Math"/>
          </w:rPr>
          <m:t>∆</m:t>
        </m:r>
        <m:sSup>
          <m:sSupPr>
            <m:ctrlPr>
              <w:rPr>
                <w:rFonts w:ascii="Cambria Math" w:hAnsi="Cambria Math"/>
                <w:i/>
              </w:rPr>
            </m:ctrlPr>
          </m:sSupPr>
          <m:e>
            <m:r>
              <m:rPr/>
              <w:rPr>
                <w:rFonts w:hint="eastAsia" w:ascii="Cambria Math" w:hAnsi="Cambria Math"/>
              </w:rPr>
              <m:t>u</m:t>
            </m:r>
            <m:ctrlPr>
              <w:rPr>
                <w:rFonts w:ascii="Cambria Math" w:hAnsi="Cambria Math"/>
                <w:i/>
              </w:rPr>
            </m:ctrlPr>
          </m:e>
          <m:sup>
            <m:r>
              <m:rPr/>
              <w:rPr>
                <w:rFonts w:ascii="Cambria Math" w:hAnsi="Cambria Math"/>
              </w:rPr>
              <m:t>'</m:t>
            </m:r>
            <m:ctrlPr>
              <w:rPr>
                <w:rFonts w:ascii="Cambria Math" w:hAnsi="Cambria Math"/>
                <w:i/>
              </w:rPr>
            </m:ctrlPr>
          </m:sup>
        </m:sSup>
        <m:sSup>
          <m:sSupPr>
            <m:ctrlPr>
              <w:rPr>
                <w:rFonts w:ascii="Cambria Math" w:hAnsi="Cambria Math"/>
                <w:i/>
              </w:rPr>
            </m:ctrlPr>
          </m:sSupPr>
          <m:e>
            <m:r>
              <m:rPr/>
              <w:rPr>
                <w:rFonts w:ascii="Cambria Math" w:hAnsi="Cambria Math"/>
              </w:rPr>
              <m:t>v</m:t>
            </m:r>
            <m:ctrlPr>
              <w:rPr>
                <w:rFonts w:ascii="Cambria Math" w:hAnsi="Cambria Math"/>
                <w:i/>
              </w:rPr>
            </m:ctrlPr>
          </m:e>
          <m:sup>
            <m:r>
              <m:rPr/>
              <w:rPr>
                <w:rFonts w:ascii="Cambria Math" w:hAnsi="Cambria Math"/>
              </w:rPr>
              <m:t>'</m:t>
            </m:r>
            <m:ctrlPr>
              <w:rPr>
                <w:rFonts w:ascii="Cambria Math" w:hAnsi="Cambria Math"/>
                <w:i/>
              </w:rPr>
            </m:ctrlPr>
          </m:sup>
        </m:sSup>
        <m:r>
          <m:rPr/>
          <w:rPr>
            <w:rFonts w:ascii="Cambria Math" w:hAnsi="Cambria Math"/>
          </w:rPr>
          <m:t>=</m:t>
        </m:r>
        <m:rad>
          <m:radPr>
            <m:degHide m:val="1"/>
            <m:ctrlPr>
              <w:rPr>
                <w:rFonts w:ascii="Cambria Math" w:hAnsi="Cambria Math"/>
                <w:i/>
              </w:rPr>
            </m:ctrlPr>
          </m:radPr>
          <m:deg>
            <m:ctrlPr>
              <w:rPr>
                <w:rFonts w:ascii="Cambria Math" w:hAnsi="Cambria Math"/>
                <w:i/>
              </w:rPr>
            </m:ctrlPr>
          </m:deg>
          <m:e>
            <m:sSup>
              <m:sSupPr>
                <m:ctrlPr>
                  <w:rPr>
                    <w:rFonts w:ascii="Cambria Math" w:hAnsi="Cambria Math"/>
                    <w:i/>
                  </w:rPr>
                </m:ctrlPr>
              </m:sSupPr>
              <m:e>
                <m:d>
                  <m:dPr>
                    <m:ctrlPr>
                      <w:rPr>
                        <w:rFonts w:ascii="Cambria Math" w:hAnsi="Cambria Math"/>
                        <w:i/>
                      </w:rPr>
                    </m:ctrlPr>
                  </m:dPr>
                  <m:e>
                    <m:sSubSup>
                      <m:sSubSupPr>
                        <m:ctrlPr>
                          <w:rPr>
                            <w:rFonts w:ascii="Cambria Math" w:hAnsi="Cambria Math"/>
                            <w:i/>
                          </w:rPr>
                        </m:ctrlPr>
                      </m:sSubSupPr>
                      <m:e>
                        <m:r>
                          <m:rPr/>
                          <w:rPr>
                            <w:rFonts w:ascii="Cambria Math" w:hAnsi="Cambria Math"/>
                          </w:rPr>
                          <m:t>u</m:t>
                        </m:r>
                        <m:ctrlPr>
                          <w:rPr>
                            <w:rFonts w:ascii="Cambria Math" w:hAnsi="Cambria Math"/>
                            <w:i/>
                          </w:rPr>
                        </m:ctrlPr>
                      </m:e>
                      <m:sub>
                        <m:r>
                          <m:rPr/>
                          <w:rPr>
                            <w:rFonts w:ascii="Cambria Math" w:hAnsi="Cambria Math"/>
                          </w:rPr>
                          <m:t>n</m:t>
                        </m:r>
                        <m:ctrlPr>
                          <w:rPr>
                            <w:rFonts w:ascii="Cambria Math" w:hAnsi="Cambria Math"/>
                            <w:i/>
                          </w:rPr>
                        </m:ctrlPr>
                      </m:sub>
                      <m:sup>
                        <m:r>
                          <m:rPr/>
                          <w:rPr>
                            <w:rFonts w:ascii="Cambria Math" w:hAnsi="Cambria Math"/>
                          </w:rPr>
                          <m:t>'</m:t>
                        </m:r>
                        <m:ctrlPr>
                          <w:rPr>
                            <w:rFonts w:ascii="Cambria Math" w:hAnsi="Cambria Math"/>
                            <w:i/>
                          </w:rPr>
                        </m:ctrlPr>
                      </m:sup>
                    </m:sSubSup>
                    <m:r>
                      <m:rPr/>
                      <w:rPr>
                        <w:rFonts w:ascii="Cambria Math" w:hAnsi="Cambria Math"/>
                      </w:rPr>
                      <m:t>−</m:t>
                    </m:r>
                    <m:sSubSup>
                      <m:sSubSupPr>
                        <m:ctrlPr>
                          <w:rPr>
                            <w:rFonts w:ascii="Cambria Math" w:hAnsi="Cambria Math"/>
                            <w:i/>
                          </w:rPr>
                        </m:ctrlPr>
                      </m:sSubSupPr>
                      <m:e>
                        <m:r>
                          <m:rPr/>
                          <w:rPr>
                            <w:rFonts w:ascii="Cambria Math" w:hAnsi="Cambria Math"/>
                          </w:rPr>
                          <m:t>u</m:t>
                        </m:r>
                        <m:ctrlPr>
                          <w:rPr>
                            <w:rFonts w:ascii="Cambria Math" w:hAnsi="Cambria Math"/>
                            <w:i/>
                          </w:rPr>
                        </m:ctrlPr>
                      </m:e>
                      <m:sub>
                        <m:r>
                          <m:rPr/>
                          <w:rPr>
                            <w:rFonts w:ascii="Cambria Math" w:hAnsi="Cambria Math"/>
                          </w:rPr>
                          <m:t>5</m:t>
                        </m:r>
                        <m:ctrlPr>
                          <w:rPr>
                            <w:rFonts w:ascii="Cambria Math" w:hAnsi="Cambria Math"/>
                            <w:i/>
                          </w:rPr>
                        </m:ctrlPr>
                      </m:sub>
                      <m:sup>
                        <m:r>
                          <m:rPr/>
                          <w:rPr>
                            <w:rFonts w:ascii="Cambria Math" w:hAnsi="Cambria Math"/>
                          </w:rPr>
                          <m:t>'</m:t>
                        </m:r>
                        <m:ctrlPr>
                          <w:rPr>
                            <w:rFonts w:ascii="Cambria Math" w:hAnsi="Cambria Math"/>
                            <w:i/>
                          </w:rPr>
                        </m:ctrlPr>
                      </m:sup>
                    </m:sSubSup>
                    <m:ctrlPr>
                      <w:rPr>
                        <w:rFonts w:ascii="Cambria Math" w:hAnsi="Cambria Math"/>
                        <w:i/>
                      </w:rPr>
                    </m:ctrlPr>
                  </m:e>
                </m:d>
                <m:ctrlPr>
                  <w:rPr>
                    <w:rFonts w:ascii="Cambria Math" w:hAnsi="Cambria Math"/>
                    <w:i/>
                  </w:rPr>
                </m:ctrlPr>
              </m:e>
              <m:sup>
                <m:r>
                  <m:rPr/>
                  <w:rPr>
                    <w:rFonts w:ascii="Cambria Math" w:hAnsi="Cambria Math"/>
                  </w:rPr>
                  <m:t>2</m:t>
                </m:r>
                <m:ctrlPr>
                  <w:rPr>
                    <w:rFonts w:ascii="Cambria Math" w:hAnsi="Cambria Math"/>
                    <w:i/>
                  </w:rPr>
                </m:ctrlPr>
              </m:sup>
            </m:sSup>
            <m:r>
              <m:rPr/>
              <w:rPr>
                <w:rFonts w:ascii="Cambria Math" w:hAnsi="Cambria Math"/>
              </w:rPr>
              <m:t>+</m:t>
            </m:r>
            <m:sSup>
              <m:sSupPr>
                <m:ctrlPr>
                  <w:rPr>
                    <w:rFonts w:ascii="Cambria Math" w:hAnsi="Cambria Math"/>
                    <w:i/>
                  </w:rPr>
                </m:ctrlPr>
              </m:sSupPr>
              <m:e>
                <m:d>
                  <m:dPr>
                    <m:ctrlPr>
                      <w:rPr>
                        <w:rFonts w:ascii="Cambria Math" w:hAnsi="Cambria Math"/>
                        <w:i/>
                      </w:rPr>
                    </m:ctrlPr>
                  </m:dPr>
                  <m:e>
                    <m:sSubSup>
                      <m:sSubSupPr>
                        <m:ctrlPr>
                          <w:rPr>
                            <w:rFonts w:ascii="Cambria Math" w:hAnsi="Cambria Math"/>
                            <w:i/>
                          </w:rPr>
                        </m:ctrlPr>
                      </m:sSubSupPr>
                      <m:e>
                        <m:r>
                          <m:rPr/>
                          <w:rPr>
                            <w:rFonts w:ascii="Cambria Math" w:hAnsi="Cambria Math"/>
                          </w:rPr>
                          <m:t>v</m:t>
                        </m:r>
                        <m:ctrlPr>
                          <w:rPr>
                            <w:rFonts w:ascii="Cambria Math" w:hAnsi="Cambria Math"/>
                            <w:i/>
                          </w:rPr>
                        </m:ctrlPr>
                      </m:e>
                      <m:sub>
                        <m:r>
                          <m:rPr/>
                          <w:rPr>
                            <w:rFonts w:ascii="Cambria Math" w:hAnsi="Cambria Math"/>
                          </w:rPr>
                          <m:t>n</m:t>
                        </m:r>
                        <m:ctrlPr>
                          <w:rPr>
                            <w:rFonts w:ascii="Cambria Math" w:hAnsi="Cambria Math"/>
                            <w:i/>
                          </w:rPr>
                        </m:ctrlPr>
                      </m:sub>
                      <m:sup>
                        <m:r>
                          <m:rPr/>
                          <w:rPr>
                            <w:rFonts w:ascii="Cambria Math" w:hAnsi="Cambria Math"/>
                          </w:rPr>
                          <m:t>'</m:t>
                        </m:r>
                        <m:ctrlPr>
                          <w:rPr>
                            <w:rFonts w:ascii="Cambria Math" w:hAnsi="Cambria Math"/>
                            <w:i/>
                          </w:rPr>
                        </m:ctrlPr>
                      </m:sup>
                    </m:sSubSup>
                    <m:r>
                      <m:rPr/>
                      <w:rPr>
                        <w:rFonts w:ascii="Cambria Math" w:hAnsi="Cambria Math"/>
                      </w:rPr>
                      <m:t>−</m:t>
                    </m:r>
                    <m:sSubSup>
                      <m:sSubSupPr>
                        <m:ctrlPr>
                          <w:rPr>
                            <w:rFonts w:ascii="Cambria Math" w:hAnsi="Cambria Math"/>
                            <w:i/>
                          </w:rPr>
                        </m:ctrlPr>
                      </m:sSubSupPr>
                      <m:e>
                        <m:r>
                          <m:rPr/>
                          <w:rPr>
                            <w:rFonts w:ascii="Cambria Math" w:hAnsi="Cambria Math"/>
                          </w:rPr>
                          <m:t>v</m:t>
                        </m:r>
                        <m:ctrlPr>
                          <w:rPr>
                            <w:rFonts w:ascii="Cambria Math" w:hAnsi="Cambria Math"/>
                            <w:i/>
                          </w:rPr>
                        </m:ctrlPr>
                      </m:e>
                      <m:sub>
                        <m:r>
                          <m:rPr/>
                          <w:rPr>
                            <w:rFonts w:ascii="Cambria Math" w:hAnsi="Cambria Math"/>
                          </w:rPr>
                          <m:t>5</m:t>
                        </m:r>
                        <m:ctrlPr>
                          <w:rPr>
                            <w:rFonts w:ascii="Cambria Math" w:hAnsi="Cambria Math"/>
                            <w:i/>
                          </w:rPr>
                        </m:ctrlPr>
                      </m:sub>
                      <m:sup>
                        <m:r>
                          <m:rPr/>
                          <w:rPr>
                            <w:rFonts w:ascii="Cambria Math" w:hAnsi="Cambria Math"/>
                          </w:rPr>
                          <m:t>'</m:t>
                        </m:r>
                        <m:ctrlPr>
                          <w:rPr>
                            <w:rFonts w:ascii="Cambria Math" w:hAnsi="Cambria Math"/>
                            <w:i/>
                          </w:rPr>
                        </m:ctrlPr>
                      </m:sup>
                    </m:sSubSup>
                    <m:ctrlPr>
                      <w:rPr>
                        <w:rFonts w:ascii="Cambria Math" w:hAnsi="Cambria Math"/>
                        <w:i/>
                      </w:rPr>
                    </m:ctrlPr>
                  </m:e>
                </m:d>
                <m:ctrlPr>
                  <w:rPr>
                    <w:rFonts w:ascii="Cambria Math" w:hAnsi="Cambria Math"/>
                    <w:i/>
                  </w:rPr>
                </m:ctrlPr>
              </m:e>
              <m:sup>
                <m:r>
                  <m:rPr/>
                  <w:rPr>
                    <w:rFonts w:ascii="Cambria Math" w:hAnsi="Cambria Math"/>
                  </w:rPr>
                  <m:t>2</m:t>
                </m:r>
                <m:ctrlPr>
                  <w:rPr>
                    <w:rFonts w:ascii="Cambria Math" w:hAnsi="Cambria Math"/>
                    <w:i/>
                  </w:rPr>
                </m:ctrlPr>
              </m:sup>
            </m:sSup>
            <m:ctrlPr>
              <w:rPr>
                <w:rFonts w:ascii="Cambria Math" w:hAnsi="Cambria Math"/>
                <w:i/>
              </w:rPr>
            </m:ctrlPr>
          </m:e>
        </m:rad>
      </m:oMath>
      <w:r>
        <w:rPr>
          <w:rFonts w:hint="eastAsia" w:ascii="微软雅黑" w:hAnsi="微软雅黑" w:eastAsia="微软雅黑"/>
        </w:rPr>
        <w:tab/>
      </w:r>
      <w:r>
        <w:t>(</w:t>
      </w:r>
      <w:r>
        <w:rPr>
          <w:rFonts w:hint="eastAsia"/>
        </w:rPr>
        <w:t>5</w:t>
      </w:r>
      <w:r>
        <w:t>)</w:t>
      </w:r>
    </w:p>
    <w:p w14:paraId="5A1AD9D8">
      <w:pPr>
        <w:pStyle w:val="61"/>
        <w:ind w:firstLine="420"/>
      </w:pPr>
      <w:r>
        <w:rPr>
          <w:rFonts w:hint="eastAsia"/>
        </w:rPr>
        <w:t>式中：</w:t>
      </w:r>
    </w:p>
    <w:p w14:paraId="53240E95">
      <w:pPr>
        <w:pStyle w:val="180"/>
        <w:numPr>
          <w:ilvl w:val="0"/>
          <w:numId w:val="0"/>
        </w:numPr>
        <w:ind w:left="851" w:hanging="426"/>
      </w:pPr>
      <m:oMath>
        <m:r>
          <m:rPr/>
          <w:rPr>
            <w:rFonts w:ascii="Cambria Math" w:hAnsi="Cambria Math"/>
          </w:rPr>
          <m:t>∆</m:t>
        </m:r>
        <m:sSup>
          <m:sSupPr>
            <m:ctrlPr>
              <w:rPr>
                <w:rFonts w:ascii="Cambria Math" w:hAnsi="Cambria Math"/>
                <w:i/>
                <w:kern w:val="2"/>
                <w:szCs w:val="21"/>
              </w:rPr>
            </m:ctrlPr>
          </m:sSupPr>
          <m:e>
            <m:r>
              <m:rPr/>
              <w:rPr>
                <w:rFonts w:hint="eastAsia" w:ascii="Cambria Math" w:hAnsi="Cambria Math"/>
              </w:rPr>
              <m:t>u</m:t>
            </m:r>
            <m:ctrlPr>
              <w:rPr>
                <w:rFonts w:ascii="Cambria Math" w:hAnsi="Cambria Math"/>
                <w:i/>
                <w:kern w:val="2"/>
                <w:szCs w:val="21"/>
              </w:rPr>
            </m:ctrlPr>
          </m:e>
          <m:sup>
            <m:r>
              <m:rPr/>
              <w:rPr>
                <w:rFonts w:ascii="Cambria Math" w:hAnsi="Cambria Math"/>
              </w:rPr>
              <m:t>'</m:t>
            </m:r>
            <m:ctrlPr>
              <w:rPr>
                <w:rFonts w:ascii="Cambria Math" w:hAnsi="Cambria Math"/>
                <w:i/>
                <w:kern w:val="2"/>
                <w:szCs w:val="21"/>
              </w:rPr>
            </m:ctrlPr>
          </m:sup>
        </m:sSup>
        <m:sSup>
          <m:sSupPr>
            <m:ctrlPr>
              <w:rPr>
                <w:rFonts w:ascii="Cambria Math" w:hAnsi="Cambria Math"/>
                <w:i/>
                <w:kern w:val="2"/>
                <w:szCs w:val="21"/>
              </w:rPr>
            </m:ctrlPr>
          </m:sSupPr>
          <m:e>
            <m:r>
              <m:rPr/>
              <w:rPr>
                <w:rFonts w:ascii="Cambria Math" w:hAnsi="Cambria Math"/>
              </w:rPr>
              <m:t>v</m:t>
            </m:r>
            <m:ctrlPr>
              <w:rPr>
                <w:rFonts w:ascii="Cambria Math" w:hAnsi="Cambria Math"/>
                <w:i/>
                <w:kern w:val="2"/>
                <w:szCs w:val="21"/>
              </w:rPr>
            </m:ctrlPr>
          </m:e>
          <m:sup>
            <m:r>
              <m:rPr/>
              <w:rPr>
                <w:rFonts w:ascii="Cambria Math" w:hAnsi="Cambria Math"/>
              </w:rPr>
              <m:t>'</m:t>
            </m:r>
            <m:ctrlPr>
              <w:rPr>
                <w:rFonts w:ascii="Cambria Math" w:hAnsi="Cambria Math"/>
                <w:i/>
                <w:kern w:val="2"/>
                <w:szCs w:val="21"/>
              </w:rPr>
            </m:ctrlPr>
          </m:sup>
        </m:sSup>
      </m:oMath>
      <w:r>
        <w:rPr>
          <w:rFonts w:hint="eastAsia"/>
        </w:rPr>
        <w:t>——第</w:t>
      </w:r>
      <m:oMath>
        <m:r>
          <m:rPr/>
          <w:rPr>
            <w:rFonts w:hint="eastAsia" w:ascii="Cambria Math" w:hAnsi="Cambria Math"/>
          </w:rPr>
          <m:t>n</m:t>
        </m:r>
      </m:oMath>
      <w:r>
        <w:rPr>
          <w:rFonts w:hint="eastAsia"/>
        </w:rPr>
        <w:t>点的色度坐标与第5点色度误差；</w:t>
      </w:r>
    </w:p>
    <w:p w14:paraId="29503F2D">
      <w:pPr>
        <w:pStyle w:val="62"/>
        <w:ind w:firstLine="420"/>
      </w:pPr>
      <m:oMath>
        <m:r>
          <m:rPr/>
          <w:rPr>
            <w:rFonts w:hint="eastAsia" w:ascii="Cambria Math" w:hAnsi="Cambria Math"/>
          </w:rPr>
          <m:t>n</m:t>
        </m:r>
      </m:oMath>
      <w:r>
        <w:rPr>
          <w:rFonts w:hint="eastAsia"/>
        </w:rPr>
        <w:t>——测试点编号，取</w:t>
      </w:r>
      <w:r>
        <w:rPr>
          <w:rFonts w:hint="eastAsia" w:hAnsi="宋体"/>
        </w:rPr>
        <w:t>1～9</w:t>
      </w:r>
      <w:r>
        <w:rPr>
          <w:rFonts w:hint="eastAsia"/>
        </w:rPr>
        <w:t>；</w:t>
      </w:r>
    </w:p>
    <w:p w14:paraId="06945B0C">
      <w:pPr>
        <w:pStyle w:val="62"/>
        <w:ind w:firstLine="420"/>
      </w:pPr>
      <m:oMath>
        <m:d>
          <m:dPr>
            <m:ctrlPr>
              <w:rPr>
                <w:rFonts w:ascii="Cambria Math" w:hAnsi="Cambria Math"/>
                <w:i/>
                <w:kern w:val="2"/>
                <w:szCs w:val="21"/>
              </w:rPr>
            </m:ctrlPr>
          </m:dPr>
          <m:e>
            <m:sSubSup>
              <m:sSubSupPr>
                <m:ctrlPr>
                  <w:rPr>
                    <w:rFonts w:ascii="Cambria Math" w:hAnsi="Cambria Math"/>
                    <w:i/>
                    <w:kern w:val="2"/>
                    <w:szCs w:val="21"/>
                  </w:rPr>
                </m:ctrlPr>
              </m:sSubSupPr>
              <m:e>
                <m:r>
                  <m:rPr/>
                  <w:rPr>
                    <w:rFonts w:ascii="Cambria Math" w:hAnsi="Cambria Math"/>
                  </w:rPr>
                  <m:t>u</m:t>
                </m:r>
                <m:ctrlPr>
                  <w:rPr>
                    <w:rFonts w:ascii="Cambria Math" w:hAnsi="Cambria Math"/>
                    <w:i/>
                    <w:kern w:val="2"/>
                    <w:szCs w:val="21"/>
                  </w:rPr>
                </m:ctrlPr>
              </m:e>
              <m:sub>
                <m:r>
                  <m:rPr/>
                  <w:rPr>
                    <w:rFonts w:ascii="Cambria Math" w:hAnsi="Cambria Math"/>
                  </w:rPr>
                  <m:t>n</m:t>
                </m:r>
                <m:ctrlPr>
                  <w:rPr>
                    <w:rFonts w:ascii="Cambria Math" w:hAnsi="Cambria Math"/>
                    <w:i/>
                    <w:kern w:val="2"/>
                    <w:szCs w:val="21"/>
                  </w:rPr>
                </m:ctrlPr>
              </m:sub>
              <m:sup>
                <m:r>
                  <m:rPr/>
                  <w:rPr>
                    <w:rFonts w:ascii="Cambria Math" w:hAnsi="Cambria Math"/>
                  </w:rPr>
                  <m:t>'</m:t>
                </m:r>
                <m:ctrlPr>
                  <w:rPr>
                    <w:rFonts w:ascii="Cambria Math" w:hAnsi="Cambria Math"/>
                    <w:i/>
                    <w:kern w:val="2"/>
                    <w:szCs w:val="21"/>
                  </w:rPr>
                </m:ctrlPr>
              </m:sup>
            </m:sSubSup>
            <m:r>
              <m:rPr/>
              <w:rPr>
                <w:rFonts w:ascii="Cambria Math" w:hAnsi="Cambria Math"/>
              </w:rPr>
              <m:t>−</m:t>
            </m:r>
            <m:sSubSup>
              <m:sSubSupPr>
                <m:ctrlPr>
                  <w:rPr>
                    <w:rFonts w:ascii="Cambria Math" w:hAnsi="Cambria Math"/>
                    <w:i/>
                    <w:kern w:val="2"/>
                    <w:szCs w:val="21"/>
                  </w:rPr>
                </m:ctrlPr>
              </m:sSubSupPr>
              <m:e>
                <m:r>
                  <m:rPr/>
                  <w:rPr>
                    <w:rFonts w:ascii="Cambria Math" w:hAnsi="Cambria Math"/>
                  </w:rPr>
                  <m:t>v</m:t>
                </m:r>
                <m:ctrlPr>
                  <w:rPr>
                    <w:rFonts w:ascii="Cambria Math" w:hAnsi="Cambria Math"/>
                    <w:i/>
                    <w:kern w:val="2"/>
                    <w:szCs w:val="21"/>
                  </w:rPr>
                </m:ctrlPr>
              </m:e>
              <m:sub>
                <m:r>
                  <m:rPr/>
                  <w:rPr>
                    <w:rFonts w:hint="eastAsia" w:ascii="Cambria Math" w:hAnsi="Cambria Math"/>
                  </w:rPr>
                  <m:t>n</m:t>
                </m:r>
                <m:ctrlPr>
                  <w:rPr>
                    <w:rFonts w:ascii="Cambria Math" w:hAnsi="Cambria Math"/>
                    <w:i/>
                    <w:kern w:val="2"/>
                    <w:szCs w:val="21"/>
                  </w:rPr>
                </m:ctrlPr>
              </m:sub>
              <m:sup>
                <m:r>
                  <m:rPr/>
                  <w:rPr>
                    <w:rFonts w:ascii="Cambria Math" w:hAnsi="Cambria Math"/>
                  </w:rPr>
                  <m:t>'</m:t>
                </m:r>
                <m:ctrlPr>
                  <w:rPr>
                    <w:rFonts w:ascii="Cambria Math" w:hAnsi="Cambria Math"/>
                    <w:i/>
                    <w:kern w:val="2"/>
                    <w:szCs w:val="21"/>
                  </w:rPr>
                </m:ctrlPr>
              </m:sup>
            </m:sSubSup>
            <m:ctrlPr>
              <w:rPr>
                <w:rFonts w:ascii="Cambria Math" w:hAnsi="Cambria Math"/>
                <w:i/>
                <w:kern w:val="2"/>
                <w:szCs w:val="21"/>
              </w:rPr>
            </m:ctrlPr>
          </m:e>
        </m:d>
      </m:oMath>
      <w:r>
        <w:rPr>
          <w:rFonts w:hint="eastAsia"/>
        </w:rPr>
        <w:t>——第</w:t>
      </w:r>
      <m:oMath>
        <m:r>
          <m:rPr/>
          <w:rPr>
            <w:rFonts w:hint="eastAsia" w:ascii="Cambria Math" w:hAnsi="Cambria Math"/>
          </w:rPr>
          <m:t>n</m:t>
        </m:r>
      </m:oMath>
      <w:r>
        <w:rPr>
          <w:rFonts w:hint="eastAsia"/>
        </w:rPr>
        <w:t>点的色度坐标值；</w:t>
      </w:r>
    </w:p>
    <w:p w14:paraId="04758998">
      <w:pPr>
        <w:pStyle w:val="62"/>
        <w:ind w:firstLine="420"/>
      </w:pPr>
      <m:oMath>
        <m:d>
          <m:dPr>
            <m:ctrlPr>
              <w:rPr>
                <w:rFonts w:ascii="Cambria Math" w:hAnsi="Cambria Math"/>
                <w:i/>
                <w:kern w:val="2"/>
                <w:szCs w:val="21"/>
              </w:rPr>
            </m:ctrlPr>
          </m:dPr>
          <m:e>
            <m:sSubSup>
              <m:sSubSupPr>
                <m:ctrlPr>
                  <w:rPr>
                    <w:rFonts w:ascii="Cambria Math" w:hAnsi="Cambria Math"/>
                    <w:i/>
                    <w:kern w:val="2"/>
                    <w:szCs w:val="21"/>
                  </w:rPr>
                </m:ctrlPr>
              </m:sSubSupPr>
              <m:e>
                <m:r>
                  <m:rPr/>
                  <w:rPr>
                    <w:rFonts w:ascii="Cambria Math" w:hAnsi="Cambria Math"/>
                  </w:rPr>
                  <m:t>u</m:t>
                </m:r>
                <m:ctrlPr>
                  <w:rPr>
                    <w:rFonts w:ascii="Cambria Math" w:hAnsi="Cambria Math"/>
                    <w:i/>
                    <w:kern w:val="2"/>
                    <w:szCs w:val="21"/>
                  </w:rPr>
                </m:ctrlPr>
              </m:e>
              <m:sub>
                <m:r>
                  <m:rPr/>
                  <w:rPr>
                    <w:rFonts w:ascii="Cambria Math" w:hAnsi="Cambria Math"/>
                  </w:rPr>
                  <m:t>5</m:t>
                </m:r>
                <m:ctrlPr>
                  <w:rPr>
                    <w:rFonts w:ascii="Cambria Math" w:hAnsi="Cambria Math"/>
                    <w:i/>
                    <w:kern w:val="2"/>
                    <w:szCs w:val="21"/>
                  </w:rPr>
                </m:ctrlPr>
              </m:sub>
              <m:sup>
                <m:r>
                  <m:rPr/>
                  <w:rPr>
                    <w:rFonts w:ascii="Cambria Math" w:hAnsi="Cambria Math"/>
                  </w:rPr>
                  <m:t>'</m:t>
                </m:r>
                <m:ctrlPr>
                  <w:rPr>
                    <w:rFonts w:ascii="Cambria Math" w:hAnsi="Cambria Math"/>
                    <w:i/>
                    <w:kern w:val="2"/>
                    <w:szCs w:val="21"/>
                  </w:rPr>
                </m:ctrlPr>
              </m:sup>
            </m:sSubSup>
            <m:r>
              <m:rPr/>
              <w:rPr>
                <w:rFonts w:ascii="Cambria Math" w:hAnsi="Cambria Math"/>
              </w:rPr>
              <m:t>−</m:t>
            </m:r>
            <m:sSubSup>
              <m:sSubSupPr>
                <m:ctrlPr>
                  <w:rPr>
                    <w:rFonts w:ascii="Cambria Math" w:hAnsi="Cambria Math"/>
                    <w:i/>
                    <w:kern w:val="2"/>
                    <w:szCs w:val="21"/>
                  </w:rPr>
                </m:ctrlPr>
              </m:sSubSupPr>
              <m:e>
                <m:r>
                  <m:rPr/>
                  <w:rPr>
                    <w:rFonts w:ascii="Cambria Math" w:hAnsi="Cambria Math"/>
                  </w:rPr>
                  <m:t>v</m:t>
                </m:r>
                <m:ctrlPr>
                  <w:rPr>
                    <w:rFonts w:ascii="Cambria Math" w:hAnsi="Cambria Math"/>
                    <w:i/>
                    <w:kern w:val="2"/>
                    <w:szCs w:val="21"/>
                  </w:rPr>
                </m:ctrlPr>
              </m:e>
              <m:sub>
                <m:r>
                  <m:rPr/>
                  <w:rPr>
                    <w:rFonts w:ascii="Cambria Math" w:hAnsi="Cambria Math"/>
                  </w:rPr>
                  <m:t>5</m:t>
                </m:r>
                <m:ctrlPr>
                  <w:rPr>
                    <w:rFonts w:ascii="Cambria Math" w:hAnsi="Cambria Math"/>
                    <w:i/>
                    <w:kern w:val="2"/>
                    <w:szCs w:val="21"/>
                  </w:rPr>
                </m:ctrlPr>
              </m:sub>
              <m:sup>
                <m:r>
                  <m:rPr/>
                  <w:rPr>
                    <w:rFonts w:ascii="Cambria Math" w:hAnsi="Cambria Math"/>
                  </w:rPr>
                  <m:t>'</m:t>
                </m:r>
                <m:ctrlPr>
                  <w:rPr>
                    <w:rFonts w:ascii="Cambria Math" w:hAnsi="Cambria Math"/>
                    <w:i/>
                    <w:kern w:val="2"/>
                    <w:szCs w:val="21"/>
                  </w:rPr>
                </m:ctrlPr>
              </m:sup>
            </m:sSubSup>
            <m:ctrlPr>
              <w:rPr>
                <w:rFonts w:ascii="Cambria Math" w:hAnsi="Cambria Math"/>
                <w:i/>
                <w:kern w:val="2"/>
                <w:szCs w:val="21"/>
              </w:rPr>
            </m:ctrlPr>
          </m:e>
        </m:d>
      </m:oMath>
      <w:r>
        <w:rPr>
          <w:rFonts w:hint="eastAsia"/>
        </w:rPr>
        <w:t>——第5点（中心点）的色度坐标值。</w:t>
      </w:r>
    </w:p>
    <w:p w14:paraId="2C2C4278">
      <w:pPr>
        <w:pStyle w:val="62"/>
        <w:ind w:firstLine="420"/>
      </w:pPr>
    </w:p>
    <w:p w14:paraId="38FEBC8D">
      <w:pPr>
        <w:pStyle w:val="62"/>
        <w:ind w:firstLine="420"/>
        <w:jc w:val="center"/>
      </w:pPr>
      <w:r>
        <w:drawing>
          <wp:inline distT="0" distB="0" distL="0" distR="0">
            <wp:extent cx="5015865" cy="2654300"/>
            <wp:effectExtent l="0" t="0" r="0" b="0"/>
            <wp:docPr id="76802027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020278" name="图片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5022677" cy="2658432"/>
                    </a:xfrm>
                    <a:prstGeom prst="rect">
                      <a:avLst/>
                    </a:prstGeom>
                    <a:noFill/>
                    <a:ln>
                      <a:noFill/>
                    </a:ln>
                  </pic:spPr>
                </pic:pic>
              </a:graphicData>
            </a:graphic>
          </wp:inline>
        </w:drawing>
      </w:r>
    </w:p>
    <w:p w14:paraId="1F944797">
      <w:pPr>
        <w:pStyle w:val="120"/>
        <w:spacing w:before="120" w:after="120"/>
      </w:pPr>
      <w:r>
        <w:rPr>
          <w:rFonts w:hint="eastAsia"/>
        </w:rPr>
        <w:t>色度均匀性测量位置图</w:t>
      </w:r>
    </w:p>
    <w:p w14:paraId="168B2195">
      <w:pPr>
        <w:pStyle w:val="71"/>
        <w:spacing w:before="120" w:after="120"/>
        <w:rPr>
          <w:rFonts w:hint="eastAsia" w:hAnsi="黑体"/>
        </w:rPr>
      </w:pPr>
      <w:bookmarkStart w:id="99" w:name="_Toc190791366"/>
      <w:bookmarkStart w:id="100" w:name="_Toc13295"/>
      <w:r>
        <w:rPr>
          <w:rFonts w:hint="eastAsia" w:hAnsi="黑体"/>
        </w:rPr>
        <w:t>单眼显示分辨率测量</w:t>
      </w:r>
      <w:bookmarkEnd w:id="99"/>
      <w:bookmarkEnd w:id="100"/>
    </w:p>
    <w:p w14:paraId="72940DAB">
      <w:pPr>
        <w:pStyle w:val="62"/>
        <w:ind w:firstLine="420"/>
      </w:pPr>
      <w:r>
        <w:rPr>
          <w:rFonts w:hint="eastAsia"/>
        </w:rPr>
        <w:t>将</w:t>
      </w:r>
      <w:r>
        <w:rPr>
          <w:rFonts w:hint="eastAsia" w:hAnsi="宋体"/>
        </w:rPr>
        <w:t>被测设备</w:t>
      </w:r>
      <w:r>
        <w:rPr>
          <w:rFonts w:hint="eastAsia"/>
        </w:rPr>
        <w:t>光学系统拆下，将复合测试图加载到</w:t>
      </w:r>
      <w:r>
        <w:rPr>
          <w:rFonts w:hint="eastAsia" w:hAnsi="宋体"/>
        </w:rPr>
        <w:t>被测设备</w:t>
      </w:r>
      <w:r>
        <w:rPr>
          <w:rFonts w:hint="eastAsia"/>
        </w:rPr>
        <w:t>，将</w:t>
      </w:r>
      <w:r>
        <w:rPr>
          <w:rFonts w:hint="eastAsia" w:hAnsi="宋体"/>
        </w:rPr>
        <w:t>被测设备</w:t>
      </w:r>
      <w:r>
        <w:rPr>
          <w:rFonts w:hint="eastAsia"/>
        </w:rPr>
        <w:t>调整到符合</w:t>
      </w:r>
      <w:r>
        <w:t>SJ/T 11348</w:t>
      </w:r>
      <w:r>
        <w:rPr>
          <w:rFonts w:hint="eastAsia"/>
        </w:rPr>
        <w:t>—</w:t>
      </w:r>
      <w:r>
        <w:t>20</w:t>
      </w:r>
      <w:r>
        <w:rPr>
          <w:rFonts w:hint="eastAsia"/>
        </w:rPr>
        <w:t>1</w:t>
      </w:r>
      <w:r>
        <w:t>6</w:t>
      </w:r>
      <w:r>
        <w:rPr>
          <w:rFonts w:hint="eastAsia"/>
        </w:rPr>
        <w:t>的4.4.3规定的标准工作状态，测试并记录显示器物理的水平像素数及垂直像素数，测量结果表述成水平像素数乘以垂直像素数的形式。</w:t>
      </w:r>
    </w:p>
    <w:p w14:paraId="34DD5055">
      <w:pPr>
        <w:pStyle w:val="185"/>
      </w:pPr>
      <w:r>
        <w:rPr>
          <w:rFonts w:hint="eastAsia"/>
        </w:rPr>
        <w:t xml:space="preserve">本测量方法参考自 </w:t>
      </w:r>
      <w:r>
        <w:t>SJ/T 11348</w:t>
      </w:r>
      <w:r>
        <w:rPr>
          <w:rFonts w:hint="eastAsia"/>
        </w:rPr>
        <w:t>—</w:t>
      </w:r>
      <w:r>
        <w:t>2016</w:t>
      </w:r>
      <w:r>
        <w:rPr>
          <w:rFonts w:hint="eastAsia"/>
        </w:rPr>
        <w:t>的5.16，复合测试图参考自GB/T</w:t>
      </w:r>
      <w:r>
        <w:t xml:space="preserve"> </w:t>
      </w:r>
      <w:r>
        <w:rPr>
          <w:rFonts w:hint="eastAsia"/>
        </w:rPr>
        <w:t>26270—2010的5.2。</w:t>
      </w:r>
    </w:p>
    <w:p w14:paraId="295FA66C">
      <w:pPr>
        <w:pStyle w:val="71"/>
        <w:spacing w:before="120" w:after="120"/>
        <w:rPr>
          <w:rFonts w:hint="eastAsia" w:hAnsi="黑体"/>
        </w:rPr>
      </w:pPr>
      <w:bookmarkStart w:id="101" w:name="_Toc4691"/>
      <w:bookmarkStart w:id="102" w:name="_Toc190791367"/>
      <w:r>
        <w:rPr>
          <w:rFonts w:hint="eastAsia" w:hAnsi="黑体"/>
          <w:highlight w:val="none"/>
        </w:rPr>
        <w:t>渲染分辨率测</w:t>
      </w:r>
      <w:r>
        <w:rPr>
          <w:rFonts w:hint="eastAsia" w:hAnsi="黑体"/>
        </w:rPr>
        <w:t>量</w:t>
      </w:r>
      <w:bookmarkEnd w:id="101"/>
    </w:p>
    <w:p w14:paraId="55803308">
      <w:pPr>
        <w:pStyle w:val="62"/>
        <w:ind w:firstLine="420"/>
      </w:pPr>
      <w:r>
        <w:rPr>
          <w:rFonts w:hint="eastAsia"/>
        </w:rPr>
        <w:t>渲染分辨率测量步骤如下：</w:t>
      </w:r>
    </w:p>
    <w:p w14:paraId="3232A3C8">
      <w:pPr>
        <w:pStyle w:val="180"/>
        <w:numPr>
          <w:ilvl w:val="0"/>
          <w:numId w:val="37"/>
        </w:numPr>
      </w:pPr>
      <w:r>
        <w:rPr>
          <w:rFonts w:hint="eastAsia"/>
        </w:rPr>
        <w:t>启动被测设备，在被测设备上播放白场信号；</w:t>
      </w:r>
    </w:p>
    <w:p w14:paraId="5BC1FC62">
      <w:pPr>
        <w:pStyle w:val="180"/>
        <w:numPr>
          <w:ilvl w:val="0"/>
          <w:numId w:val="37"/>
        </w:numPr>
      </w:pPr>
      <w:r>
        <w:rPr>
          <w:rFonts w:hint="eastAsia"/>
        </w:rPr>
        <w:t>通过Open XR读取XrViewConfigurationView结构体中的recommendedImageRectWidth参数，作为被测设备的渲染分辨率宽度；</w:t>
      </w:r>
    </w:p>
    <w:p w14:paraId="3BFC1571">
      <w:pPr>
        <w:pStyle w:val="180"/>
        <w:numPr>
          <w:ilvl w:val="0"/>
          <w:numId w:val="37"/>
        </w:numPr>
      </w:pPr>
      <w:r>
        <w:rPr>
          <w:rFonts w:hint="eastAsia"/>
        </w:rPr>
        <w:t>通过Open XR读取XrViewConfigurationView结构体中的recommendedImageRectHeight参数，作为被测设备的渲染分辨率高度。</w:t>
      </w:r>
    </w:p>
    <w:p w14:paraId="50CF61B9">
      <w:pPr>
        <w:pStyle w:val="62"/>
        <w:ind w:firstLine="420"/>
      </w:pPr>
    </w:p>
    <w:p w14:paraId="3EE4CF99">
      <w:pPr>
        <w:pStyle w:val="71"/>
        <w:spacing w:before="120" w:after="120"/>
        <w:rPr>
          <w:rFonts w:hint="eastAsia" w:hAnsi="黑体"/>
        </w:rPr>
      </w:pPr>
      <w:bookmarkStart w:id="103" w:name="_Toc15868"/>
      <w:r>
        <w:rPr>
          <w:rFonts w:hint="eastAsia" w:hAnsi="黑体"/>
          <w:highlight w:val="none"/>
        </w:rPr>
        <w:t>画质测</w:t>
      </w:r>
      <w:r>
        <w:rPr>
          <w:rFonts w:hint="eastAsia" w:hAnsi="黑体"/>
        </w:rPr>
        <w:t>量</w:t>
      </w:r>
      <w:bookmarkEnd w:id="103"/>
    </w:p>
    <w:p w14:paraId="6AFCEECE">
      <w:pPr>
        <w:pStyle w:val="62"/>
        <w:ind w:firstLine="420"/>
      </w:pPr>
      <w:r>
        <w:rPr>
          <w:rFonts w:hint="eastAsia"/>
        </w:rPr>
        <w:t>画质测量步骤如下：</w:t>
      </w:r>
    </w:p>
    <w:p w14:paraId="046246F5">
      <w:pPr>
        <w:pStyle w:val="180"/>
        <w:numPr>
          <w:ilvl w:val="0"/>
          <w:numId w:val="38"/>
        </w:numPr>
      </w:pPr>
      <w:r>
        <w:rPr>
          <w:rFonts w:hint="eastAsia"/>
        </w:rPr>
        <w:t>启动被测设备，连接计算机与被测设备，在计算机上播放动态虚拟现实视频；</w:t>
      </w:r>
    </w:p>
    <w:p w14:paraId="0B6D3A0B">
      <w:pPr>
        <w:pStyle w:val="180"/>
        <w:numPr>
          <w:ilvl w:val="0"/>
          <w:numId w:val="38"/>
        </w:numPr>
      </w:pPr>
      <w:r>
        <w:rPr>
          <w:rFonts w:hint="eastAsia"/>
        </w:rPr>
        <w:t>在计算机上运行基于OpenXR及PVR SDK的测试程序；</w:t>
      </w:r>
    </w:p>
    <w:p w14:paraId="78588219">
      <w:pPr>
        <w:pStyle w:val="180"/>
        <w:numPr>
          <w:ilvl w:val="0"/>
          <w:numId w:val="38"/>
        </w:numPr>
      </w:pPr>
      <w:r>
        <w:t>测试程序渲染动态虚拟现实视频，取当前帧的</w:t>
      </w:r>
      <w:r>
        <w:rPr>
          <w:rFonts w:hint="eastAsia"/>
        </w:rPr>
        <w:t>OpenXR Swapchain中的左眼渲染纹理，作为原始画面；</w:t>
      </w:r>
    </w:p>
    <w:p w14:paraId="7683EB92">
      <w:pPr>
        <w:pStyle w:val="180"/>
        <w:numPr>
          <w:ilvl w:val="0"/>
          <w:numId w:val="38"/>
        </w:numPr>
      </w:pPr>
      <w:r>
        <w:t>通过PVR SDK获取对应左眼</w:t>
      </w:r>
      <w:r>
        <w:rPr>
          <w:rFonts w:hint="eastAsia"/>
        </w:rPr>
        <w:t>区域代表最终合成输出的S</w:t>
      </w:r>
      <w:r>
        <w:t>creen Mirror纹理，作为</w:t>
      </w:r>
      <w:r>
        <w:rPr>
          <w:rFonts w:hint="eastAsia"/>
        </w:rPr>
        <w:t>在头显端放映的</w:t>
      </w:r>
      <w:r>
        <w:t>重建画面；</w:t>
      </w:r>
    </w:p>
    <w:p w14:paraId="3DF12EDC">
      <w:pPr>
        <w:pStyle w:val="180"/>
        <w:numPr>
          <w:ilvl w:val="0"/>
          <w:numId w:val="38"/>
        </w:numPr>
      </w:pPr>
      <w:r>
        <w:t>将原始画面和重建画面的</w:t>
      </w:r>
      <w:r>
        <w:rPr>
          <w:rFonts w:hint="eastAsia"/>
        </w:rPr>
        <w:t>像素</w:t>
      </w:r>
      <w:r>
        <w:t>对齐</w:t>
      </w:r>
      <w:r>
        <w:rPr>
          <w:rFonts w:hint="eastAsia"/>
        </w:rPr>
        <w:t>，保证分辨率一致</w:t>
      </w:r>
      <w:r>
        <w:t>；</w:t>
      </w:r>
    </w:p>
    <w:p w14:paraId="689F7A46">
      <w:pPr>
        <w:pStyle w:val="180"/>
        <w:numPr>
          <w:ilvl w:val="0"/>
          <w:numId w:val="38"/>
        </w:numPr>
      </w:pPr>
      <w:r>
        <w:rPr>
          <w:rFonts w:hint="eastAsia"/>
        </w:rPr>
        <w:t>按照公式（6）计算原始画面和重建画面中心50%</w:t>
      </w:r>
      <w:r>
        <w:t>的</w:t>
      </w:r>
      <w:r>
        <w:rPr>
          <w:rFonts w:hint="eastAsia"/>
        </w:rPr>
        <w:t>ROI</w:t>
      </w:r>
      <w:r>
        <w:t>区域的</w:t>
      </w:r>
      <m:oMath>
        <m:r>
          <m:rPr/>
          <w:rPr>
            <w:rFonts w:ascii="Cambria Math" w:hAnsi="Cambria Math"/>
          </w:rPr>
          <m:t>MSE</m:t>
        </m:r>
      </m:oMath>
      <w:r>
        <w:rPr>
          <w:rFonts w:hint="eastAsia"/>
        </w:rPr>
        <w:t>；</w:t>
      </w:r>
    </w:p>
    <w:p w14:paraId="41DE7D64">
      <w:pPr>
        <w:pStyle w:val="180"/>
        <w:numPr>
          <w:ilvl w:val="0"/>
          <w:numId w:val="0"/>
        </w:numPr>
        <w:ind w:left="851" w:hanging="426"/>
      </w:pPr>
    </w:p>
    <w:p w14:paraId="7C2037AA">
      <w:pPr>
        <w:pStyle w:val="119"/>
      </w:pPr>
      <w:r>
        <w:rPr>
          <w:rFonts w:hint="eastAsia"/>
        </w:rPr>
        <w:tab/>
      </w:r>
      <m:oMath>
        <m:r>
          <m:rPr/>
          <w:rPr>
            <w:rFonts w:ascii="Cambria Math" w:hAnsi="Cambria Math"/>
          </w:rPr>
          <m:t>MSE=</m:t>
        </m:r>
        <m:f>
          <m:fPr>
            <m:ctrlPr>
              <w:rPr>
                <w:rFonts w:ascii="Cambria Math" w:hAnsi="Cambria Math"/>
                <w:i/>
              </w:rPr>
            </m:ctrlPr>
          </m:fPr>
          <m:num>
            <m:r>
              <m:rPr/>
              <w:rPr>
                <w:rFonts w:ascii="Cambria Math" w:hAnsi="Cambria Math"/>
              </w:rPr>
              <m:t>1</m:t>
            </m:r>
            <m:ctrlPr>
              <w:rPr>
                <w:rFonts w:ascii="Cambria Math" w:hAnsi="Cambria Math"/>
                <w:i/>
              </w:rPr>
            </m:ctrlPr>
          </m:num>
          <m:den>
            <m:r>
              <m:rPr/>
              <w:rPr>
                <w:rFonts w:ascii="Cambria Math" w:hAnsi="Cambria Math"/>
              </w:rPr>
              <m:t>mn</m:t>
            </m:r>
            <m:ctrlPr>
              <w:rPr>
                <w:rFonts w:ascii="Cambria Math" w:hAnsi="Cambria Math"/>
                <w:i/>
              </w:rPr>
            </m:ctrlPr>
          </m:den>
        </m:f>
        <m:nary>
          <m:naryPr>
            <m:chr m:val="∑"/>
            <m:limLoc m:val="undOvr"/>
            <m:ctrlPr>
              <w:rPr>
                <w:rFonts w:ascii="Cambria Math" w:hAnsi="Cambria Math"/>
                <w:i/>
              </w:rPr>
            </m:ctrlPr>
          </m:naryPr>
          <m:sub>
            <m:r>
              <m:rPr/>
              <w:rPr>
                <w:rFonts w:hint="eastAsia" w:ascii="Cambria Math" w:hAnsi="Cambria Math"/>
              </w:rPr>
              <m:t>i</m:t>
            </m:r>
            <m:r>
              <m:rPr/>
              <w:rPr>
                <w:rFonts w:ascii="Cambria Math" w:hAnsi="Cambria Math"/>
              </w:rPr>
              <m:t>=0</m:t>
            </m:r>
            <m:ctrlPr>
              <w:rPr>
                <w:rFonts w:ascii="Cambria Math" w:hAnsi="Cambria Math"/>
                <w:i/>
              </w:rPr>
            </m:ctrlPr>
          </m:sub>
          <m:sup>
            <m:r>
              <m:rPr/>
              <w:rPr>
                <w:rFonts w:hint="eastAsia" w:ascii="Cambria Math" w:hAnsi="Cambria Math"/>
              </w:rPr>
              <m:t>m</m:t>
            </m:r>
            <m:r>
              <m:rPr/>
              <w:rPr>
                <w:rFonts w:ascii="Cambria Math" w:hAnsi="Cambria Math" w:cs="Cambria Math"/>
              </w:rPr>
              <m:t>−1</m:t>
            </m:r>
            <m:ctrlPr>
              <w:rPr>
                <w:rFonts w:ascii="Cambria Math" w:hAnsi="Cambria Math"/>
                <w:i/>
              </w:rPr>
            </m:ctrlPr>
          </m:sup>
          <m:e>
            <m:nary>
              <m:naryPr>
                <m:chr m:val="∑"/>
                <m:limLoc m:val="undOvr"/>
                <m:ctrlPr>
                  <w:rPr>
                    <w:rFonts w:ascii="Cambria Math" w:hAnsi="Cambria Math"/>
                    <w:i/>
                  </w:rPr>
                </m:ctrlPr>
              </m:naryPr>
              <m:sub>
                <m:r>
                  <m:rPr/>
                  <w:rPr>
                    <w:rFonts w:ascii="Cambria Math" w:hAnsi="Cambria Math"/>
                  </w:rPr>
                  <m:t>j=0</m:t>
                </m:r>
                <m:ctrlPr>
                  <w:rPr>
                    <w:rFonts w:ascii="Cambria Math" w:hAnsi="Cambria Math"/>
                    <w:i/>
                  </w:rPr>
                </m:ctrlPr>
              </m:sub>
              <m:sup>
                <m:r>
                  <m:rPr/>
                  <w:rPr>
                    <w:rFonts w:hint="eastAsia" w:ascii="Cambria Math" w:hAnsi="Cambria Math"/>
                  </w:rPr>
                  <m:t>n</m:t>
                </m:r>
                <m:r>
                  <m:rPr/>
                  <w:rPr>
                    <w:rFonts w:ascii="Cambria Math" w:hAnsi="Cambria Math"/>
                  </w:rPr>
                  <m:t>−1</m:t>
                </m:r>
                <m:ctrlPr>
                  <w:rPr>
                    <w:rFonts w:ascii="Cambria Math" w:hAnsi="Cambria Math"/>
                    <w:i/>
                  </w:rPr>
                </m:ctrlPr>
              </m:sup>
              <m:e>
                <m:sSup>
                  <m:sSupPr>
                    <m:ctrlPr>
                      <w:rPr>
                        <w:rFonts w:ascii="Cambria Math" w:hAnsi="Cambria Math"/>
                        <w:i/>
                      </w:rPr>
                    </m:ctrlPr>
                  </m:sSupPr>
                  <m:e>
                    <m:d>
                      <m:dPr>
                        <m:begChr m:val="["/>
                        <m:endChr m:val="]"/>
                        <m:ctrlPr>
                          <w:rPr>
                            <w:rFonts w:ascii="Cambria Math" w:hAnsi="Cambria Math"/>
                            <w:i/>
                          </w:rPr>
                        </m:ctrlPr>
                      </m:dPr>
                      <m:e>
                        <m:r>
                          <m:rPr/>
                          <w:rPr>
                            <w:rFonts w:ascii="Cambria Math" w:hAnsi="Cambria Math"/>
                          </w:rPr>
                          <m:t>I</m:t>
                        </m:r>
                        <m:d>
                          <m:dPr>
                            <m:ctrlPr>
                              <w:rPr>
                                <w:rFonts w:ascii="Cambria Math" w:hAnsi="Cambria Math"/>
                                <w:i/>
                              </w:rPr>
                            </m:ctrlPr>
                          </m:dPr>
                          <m:e>
                            <m:r>
                              <m:rPr/>
                              <w:rPr>
                                <w:rFonts w:ascii="Cambria Math" w:hAnsi="Cambria Math"/>
                              </w:rPr>
                              <m:t>i,j</m:t>
                            </m:r>
                            <m:ctrlPr>
                              <w:rPr>
                                <w:rFonts w:ascii="Cambria Math" w:hAnsi="Cambria Math"/>
                                <w:i/>
                              </w:rPr>
                            </m:ctrlPr>
                          </m:e>
                        </m:d>
                        <m:r>
                          <m:rPr/>
                          <w:rPr>
                            <w:rFonts w:ascii="Cambria Math" w:hAnsi="Cambria Math"/>
                          </w:rPr>
                          <m:t>−K</m:t>
                        </m:r>
                        <m:d>
                          <m:dPr>
                            <m:ctrlPr>
                              <w:rPr>
                                <w:rFonts w:ascii="Cambria Math" w:hAnsi="Cambria Math"/>
                                <w:i/>
                              </w:rPr>
                            </m:ctrlPr>
                          </m:dPr>
                          <m:e>
                            <m:r>
                              <m:rPr/>
                              <w:rPr>
                                <w:rFonts w:ascii="Cambria Math" w:hAnsi="Cambria Math"/>
                              </w:rPr>
                              <m:t>i,j</m:t>
                            </m:r>
                            <m:ctrlPr>
                              <w:rPr>
                                <w:rFonts w:ascii="Cambria Math" w:hAnsi="Cambria Math"/>
                                <w:i/>
                              </w:rPr>
                            </m:ctrlPr>
                          </m:e>
                        </m:d>
                        <m:ctrlPr>
                          <w:rPr>
                            <w:rFonts w:ascii="Cambria Math" w:hAnsi="Cambria Math"/>
                            <w:i/>
                          </w:rPr>
                        </m:ctrlPr>
                      </m:e>
                    </m:d>
                    <m:ctrlPr>
                      <w:rPr>
                        <w:rFonts w:ascii="Cambria Math" w:hAnsi="Cambria Math"/>
                        <w:i/>
                      </w:rPr>
                    </m:ctrlPr>
                  </m:e>
                  <m:sup>
                    <m:r>
                      <m:rPr/>
                      <w:rPr>
                        <w:rFonts w:ascii="Cambria Math" w:hAnsi="Cambria Math"/>
                      </w:rPr>
                      <m:t>2</m:t>
                    </m:r>
                    <m:ctrlPr>
                      <w:rPr>
                        <w:rFonts w:ascii="Cambria Math" w:hAnsi="Cambria Math"/>
                        <w:i/>
                      </w:rPr>
                    </m:ctrlPr>
                  </m:sup>
                </m:sSup>
                <m:ctrlPr>
                  <w:rPr>
                    <w:rFonts w:ascii="Cambria Math" w:hAnsi="Cambria Math"/>
                    <w:i/>
                  </w:rPr>
                </m:ctrlPr>
              </m:e>
            </m:nary>
            <m:ctrlPr>
              <w:rPr>
                <w:rFonts w:ascii="Cambria Math" w:hAnsi="Cambria Math"/>
                <w:i/>
              </w:rPr>
            </m:ctrlPr>
          </m:e>
        </m:nary>
      </m:oMath>
      <w:r>
        <w:rPr>
          <w:rFonts w:hint="eastAsia" w:ascii="微软雅黑" w:hAnsi="微软雅黑" w:eastAsia="微软雅黑"/>
        </w:rPr>
        <w:tab/>
      </w:r>
      <w:r>
        <w:t>(</w:t>
      </w:r>
      <w:r>
        <w:rPr>
          <w:rFonts w:hint="eastAsia"/>
        </w:rPr>
        <w:t>6</w:t>
      </w:r>
      <w:r>
        <w:t>)</w:t>
      </w:r>
    </w:p>
    <w:p w14:paraId="3B6BD5E9">
      <w:pPr>
        <w:pStyle w:val="61"/>
        <w:ind w:firstLine="420"/>
      </w:pPr>
      <w:r>
        <w:rPr>
          <w:rFonts w:hint="eastAsia"/>
        </w:rPr>
        <w:t>式中：</w:t>
      </w:r>
      <w:r>
        <w:rPr>
          <w:rFonts w:hint="eastAsia"/>
        </w:rPr>
        <w:tab/>
      </w:r>
    </w:p>
    <w:p w14:paraId="32FA2B7B">
      <w:pPr>
        <w:pStyle w:val="62"/>
        <w:ind w:firstLine="420"/>
      </w:pPr>
      <m:oMath>
        <m:r>
          <m:rPr/>
          <w:rPr>
            <w:rFonts w:hint="eastAsia" w:ascii="Cambria Math" w:hAnsi="Cambria Math"/>
          </w:rPr>
          <m:t>m、n</m:t>
        </m:r>
      </m:oMath>
      <w:r>
        <w:t xml:space="preserve"> ——</w:t>
      </w:r>
      <w:r>
        <w:rPr>
          <w:rFonts w:hint="eastAsia"/>
        </w:rPr>
        <w:t>ROI区域的宽高像素数；</w:t>
      </w:r>
    </w:p>
    <w:p w14:paraId="4262CD5F">
      <w:pPr>
        <w:pStyle w:val="62"/>
        <w:ind w:firstLine="420"/>
      </w:pPr>
      <m:oMath>
        <m:r>
          <m:rPr/>
          <w:rPr>
            <w:rFonts w:ascii="Cambria Math" w:hAnsi="Cambria Math"/>
            <w:kern w:val="2"/>
            <w:szCs w:val="21"/>
          </w:rPr>
          <m:t xml:space="preserve">I </m:t>
        </m:r>
      </m:oMath>
      <w:r>
        <w:rPr>
          <w:rFonts w:hint="eastAsia"/>
        </w:rPr>
        <w:t>——原始画面数据；</w:t>
      </w:r>
    </w:p>
    <w:p w14:paraId="636D9E7C">
      <w:pPr>
        <w:pStyle w:val="62"/>
        <w:ind w:firstLine="420"/>
      </w:pPr>
      <m:oMath>
        <m:r>
          <m:rPr/>
          <w:rPr>
            <w:rFonts w:ascii="Cambria Math" w:hAnsi="Cambria Math"/>
            <w:kern w:val="2"/>
            <w:szCs w:val="21"/>
          </w:rPr>
          <m:t>K</m:t>
        </m:r>
      </m:oMath>
      <w:r>
        <w:rPr>
          <w:rFonts w:hint="eastAsia"/>
        </w:rPr>
        <w:t xml:space="preserve"> ——重建画面数据。</w:t>
      </w:r>
    </w:p>
    <w:p w14:paraId="7F65E73D">
      <w:pPr>
        <w:pStyle w:val="180"/>
        <w:numPr>
          <w:ilvl w:val="0"/>
          <w:numId w:val="0"/>
        </w:numPr>
        <w:ind w:left="851"/>
        <w:rPr>
          <w:rFonts w:hint="eastAsia"/>
        </w:rPr>
      </w:pPr>
    </w:p>
    <w:p w14:paraId="03651A75">
      <w:pPr>
        <w:pStyle w:val="180"/>
        <w:numPr>
          <w:ilvl w:val="0"/>
          <w:numId w:val="38"/>
        </w:numPr>
      </w:pPr>
      <w:r>
        <w:rPr>
          <w:rFonts w:hint="eastAsia"/>
        </w:rPr>
        <w:t>按照公式（7）计算</w:t>
      </w:r>
      <m:oMath>
        <m:r>
          <m:rPr/>
          <w:rPr>
            <w:rFonts w:ascii="Cambria Math" w:hAnsi="Cambria Math"/>
          </w:rPr>
          <m:t>PSNR</m:t>
        </m:r>
      </m:oMath>
      <w:r>
        <w:rPr>
          <w:rFonts w:hint="eastAsia"/>
        </w:rPr>
        <w:t>；</w:t>
      </w:r>
    </w:p>
    <w:p w14:paraId="3B97DE3E">
      <w:pPr>
        <w:pStyle w:val="119"/>
      </w:pPr>
      <w:r>
        <w:rPr>
          <w:rFonts w:hint="eastAsia"/>
        </w:rPr>
        <w:tab/>
      </w:r>
      <m:oMath>
        <m:r>
          <m:rPr/>
          <w:rPr>
            <w:rFonts w:ascii="Cambria Math" w:hAnsi="Cambria Math"/>
          </w:rPr>
          <m:t>PSNR=10</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ctrlPr>
                  <w:rPr>
                    <w:rFonts w:ascii="Cambria Math" w:hAnsi="Cambria Math"/>
                    <w:i/>
                  </w:rPr>
                </m:ctrlPr>
              </m:e>
              <m:sub>
                <m:r>
                  <m:rPr/>
                  <w:rPr>
                    <w:rFonts w:ascii="Cambria Math" w:hAnsi="Cambria Math"/>
                  </w:rPr>
                  <m:t>10</m:t>
                </m:r>
                <m:ctrlPr>
                  <w:rPr>
                    <w:rFonts w:ascii="Cambria Math" w:hAnsi="Cambria Math"/>
                    <w:i/>
                  </w:rPr>
                </m:ctrlPr>
              </m:sub>
            </m:sSub>
            <m:ctrlPr>
              <w:rPr>
                <w:rFonts w:ascii="Cambria Math" w:hAnsi="Cambria Math"/>
                <w:i/>
              </w:rPr>
            </m:ctrlPr>
          </m:fName>
          <m:e>
            <m:d>
              <m:dPr>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m:rPr/>
                          <w:rPr>
                            <w:rFonts w:ascii="Cambria Math" w:hAnsi="Cambria Math"/>
                          </w:rPr>
                          <m:t>MAX</m:t>
                        </m:r>
                        <m:ctrlPr>
                          <w:rPr>
                            <w:rFonts w:ascii="Cambria Math" w:hAnsi="Cambria Math"/>
                            <w:i/>
                          </w:rPr>
                        </m:ctrlPr>
                      </m:e>
                      <m:sup>
                        <m:r>
                          <m:rPr/>
                          <w:rPr>
                            <w:rFonts w:ascii="Cambria Math" w:hAnsi="Cambria Math"/>
                          </w:rPr>
                          <m:t>2</m:t>
                        </m:r>
                        <m:ctrlPr>
                          <w:rPr>
                            <w:rFonts w:ascii="Cambria Math" w:hAnsi="Cambria Math"/>
                            <w:i/>
                          </w:rPr>
                        </m:ctrlPr>
                      </m:sup>
                    </m:sSup>
                    <m:ctrlPr>
                      <w:rPr>
                        <w:rFonts w:ascii="Cambria Math" w:hAnsi="Cambria Math"/>
                        <w:i/>
                      </w:rPr>
                    </m:ctrlPr>
                  </m:num>
                  <m:den>
                    <m:r>
                      <m:rPr/>
                      <w:rPr>
                        <w:rFonts w:ascii="Cambria Math" w:hAnsi="Cambria Math"/>
                      </w:rPr>
                      <m:t>MSE</m:t>
                    </m:r>
                    <m:ctrlPr>
                      <w:rPr>
                        <w:rFonts w:ascii="Cambria Math" w:hAnsi="Cambria Math"/>
                        <w:i/>
                      </w:rPr>
                    </m:ctrlPr>
                  </m:den>
                </m:f>
                <m:ctrlPr>
                  <w:rPr>
                    <w:rFonts w:ascii="Cambria Math" w:hAnsi="Cambria Math"/>
                    <w:i/>
                  </w:rPr>
                </m:ctrlPr>
              </m:e>
            </m:d>
            <m:ctrlPr>
              <w:rPr>
                <w:rFonts w:ascii="Cambria Math" w:hAnsi="Cambria Math"/>
                <w:i/>
              </w:rPr>
            </m:ctrlPr>
          </m:e>
        </m:func>
      </m:oMath>
      <w:r>
        <w:rPr>
          <w:rFonts w:hint="eastAsia" w:ascii="微软雅黑" w:hAnsi="微软雅黑" w:eastAsia="微软雅黑"/>
        </w:rPr>
        <w:tab/>
      </w:r>
      <w:r>
        <w:t>(</w:t>
      </w:r>
      <w:r>
        <w:rPr>
          <w:rFonts w:hint="eastAsia"/>
        </w:rPr>
        <w:t>7</w:t>
      </w:r>
      <w:r>
        <w:t>)</w:t>
      </w:r>
    </w:p>
    <w:p w14:paraId="1284F49F">
      <w:pPr>
        <w:pStyle w:val="61"/>
        <w:ind w:firstLine="420"/>
      </w:pPr>
      <w:r>
        <w:rPr>
          <w:rFonts w:hint="eastAsia"/>
        </w:rPr>
        <w:t>式中：</w:t>
      </w:r>
    </w:p>
    <w:p w14:paraId="396D1770">
      <w:pPr>
        <w:pStyle w:val="180"/>
        <w:numPr>
          <w:ilvl w:val="0"/>
          <w:numId w:val="0"/>
        </w:numPr>
        <w:ind w:left="851" w:hanging="426"/>
        <w:rPr>
          <w:rFonts w:hint="eastAsia"/>
        </w:rPr>
      </w:pPr>
      <w:r>
        <w:rPr>
          <w:rFonts w:hint="eastAsia"/>
        </w:rPr>
        <w:t>MAX——图像比特深度。</w:t>
      </w:r>
    </w:p>
    <w:p w14:paraId="478D3EC7">
      <w:pPr>
        <w:pStyle w:val="180"/>
        <w:numPr>
          <w:ilvl w:val="0"/>
          <w:numId w:val="38"/>
        </w:numPr>
      </w:pPr>
      <w:r>
        <w:rPr>
          <w:rFonts w:hint="eastAsia"/>
        </w:rPr>
        <w:t>每10帧采样1次计算PSNR，采样100次计算平均PSNR。</w:t>
      </w:r>
    </w:p>
    <w:p w14:paraId="137D8B4A">
      <w:pPr>
        <w:pStyle w:val="180"/>
        <w:numPr>
          <w:ilvl w:val="0"/>
          <w:numId w:val="37"/>
        </w:numPr>
      </w:pPr>
      <w:r>
        <w:rPr>
          <w:rFonts w:hint="eastAsia"/>
        </w:rPr>
        <w:t>根据表2，按照平均</w:t>
      </w:r>
      <m:oMath>
        <m:r>
          <m:rPr/>
          <w:rPr>
            <w:rFonts w:ascii="Cambria Math" w:hAnsi="Cambria Math"/>
          </w:rPr>
          <m:t>PSNR</m:t>
        </m:r>
      </m:oMath>
      <w:r>
        <w:rPr>
          <w:rFonts w:hint="eastAsia"/>
        </w:rPr>
        <w:t>划分设备的画质等级。</w:t>
      </w:r>
    </w:p>
    <w:p w14:paraId="0894D028">
      <w:pPr>
        <w:pStyle w:val="118"/>
        <w:spacing w:before="120" w:after="120"/>
      </w:pPr>
      <w:r>
        <w:rPr>
          <w:rFonts w:hint="eastAsia"/>
        </w:rPr>
        <w:t>画质等级</w:t>
      </w:r>
    </w:p>
    <w:tbl>
      <w:tblPr>
        <w:tblStyle w:val="3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114"/>
        <w:gridCol w:w="3115"/>
        <w:gridCol w:w="3115"/>
      </w:tblGrid>
      <w:tr w14:paraId="431132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6" w:hRule="atLeast"/>
          <w:tblHeader/>
          <w:jc w:val="center"/>
        </w:trPr>
        <w:tc>
          <w:tcPr>
            <w:tcW w:w="3114" w:type="dxa"/>
            <w:tcBorders>
              <w:top w:val="single" w:color="auto" w:sz="8" w:space="0"/>
              <w:bottom w:val="single" w:color="auto" w:sz="8" w:space="0"/>
            </w:tcBorders>
            <w:vAlign w:val="center"/>
          </w:tcPr>
          <w:p w14:paraId="05494B16">
            <w:pPr>
              <w:pStyle w:val="184"/>
            </w:pPr>
            <m:oMath>
              <m:acc>
                <m:accPr>
                  <m:chr m:val="̅"/>
                  <m:ctrlPr>
                    <w:rPr>
                      <w:rFonts w:ascii="Cambria Math" w:hAnsi="Cambria Math"/>
                      <w:i/>
                      <w:sz w:val="21"/>
                    </w:rPr>
                  </m:ctrlPr>
                </m:accPr>
                <m:e>
                  <m:r>
                    <m:rPr/>
                    <w:rPr>
                      <w:rFonts w:hint="eastAsia" w:ascii="Cambria Math" w:hAnsi="Cambria Math"/>
                    </w:rPr>
                    <m:t>PSNR</m:t>
                  </m:r>
                  <m:ctrlPr>
                    <w:rPr>
                      <w:rFonts w:ascii="Cambria Math" w:hAnsi="Cambria Math"/>
                      <w:i/>
                      <w:sz w:val="21"/>
                    </w:rPr>
                  </m:ctrlPr>
                </m:e>
              </m:acc>
            </m:oMath>
            <w:r>
              <w:rPr>
                <w:rFonts w:hint="eastAsia"/>
                <w:sz w:val="21"/>
              </w:rPr>
              <w:t>（dB）</w:t>
            </w:r>
          </w:p>
        </w:tc>
        <w:tc>
          <w:tcPr>
            <w:tcW w:w="3115" w:type="dxa"/>
            <w:tcBorders>
              <w:top w:val="single" w:color="auto" w:sz="8" w:space="0"/>
              <w:bottom w:val="single" w:color="auto" w:sz="8" w:space="0"/>
            </w:tcBorders>
            <w:vAlign w:val="center"/>
          </w:tcPr>
          <w:p w14:paraId="67D22BCF">
            <w:pPr>
              <w:pStyle w:val="184"/>
            </w:pPr>
            <w:r>
              <w:rPr>
                <w:rFonts w:hint="eastAsia"/>
                <w:szCs w:val="18"/>
              </w:rPr>
              <w:t>30.0＜</w:t>
            </w:r>
            <m:oMath>
              <m:acc>
                <m:accPr>
                  <m:chr m:val="̅"/>
                  <m:ctrlPr>
                    <w:rPr>
                      <w:rFonts w:ascii="Cambria Math" w:hAnsi="Cambria Math"/>
                      <w:i/>
                      <w:sz w:val="21"/>
                    </w:rPr>
                  </m:ctrlPr>
                </m:accPr>
                <m:e>
                  <m:r>
                    <m:rPr/>
                    <w:rPr>
                      <w:rFonts w:hint="eastAsia" w:ascii="Cambria Math" w:hAnsi="Cambria Math"/>
                    </w:rPr>
                    <m:t>PSNR</m:t>
                  </m:r>
                  <m:ctrlPr>
                    <w:rPr>
                      <w:rFonts w:ascii="Cambria Math" w:hAnsi="Cambria Math"/>
                      <w:i/>
                      <w:sz w:val="21"/>
                    </w:rPr>
                  </m:ctrlPr>
                </m:e>
              </m:acc>
            </m:oMath>
            <w:r>
              <w:rPr>
                <w:rFonts w:hint="eastAsia"/>
                <w:szCs w:val="18"/>
              </w:rPr>
              <w:t>≤25.0</w:t>
            </w:r>
          </w:p>
        </w:tc>
        <w:tc>
          <w:tcPr>
            <w:tcW w:w="3115" w:type="dxa"/>
            <w:tcBorders>
              <w:top w:val="single" w:color="auto" w:sz="8" w:space="0"/>
              <w:bottom w:val="single" w:color="auto" w:sz="8" w:space="0"/>
            </w:tcBorders>
            <w:vAlign w:val="center"/>
          </w:tcPr>
          <w:p w14:paraId="04E79379">
            <w:pPr>
              <w:pStyle w:val="184"/>
            </w:pPr>
            <w:r>
              <w:rPr>
                <w:rFonts w:hint="eastAsia"/>
                <w:szCs w:val="18"/>
              </w:rPr>
              <w:t>25.0＜</w:t>
            </w:r>
            <m:oMath>
              <m:acc>
                <m:accPr>
                  <m:chr m:val="̅"/>
                  <m:ctrlPr>
                    <w:rPr>
                      <w:rFonts w:ascii="Cambria Math" w:hAnsi="Cambria Math"/>
                      <w:i/>
                      <w:sz w:val="21"/>
                    </w:rPr>
                  </m:ctrlPr>
                </m:accPr>
                <m:e>
                  <m:r>
                    <m:rPr/>
                    <w:rPr>
                      <w:rFonts w:hint="eastAsia" w:ascii="Cambria Math" w:hAnsi="Cambria Math"/>
                    </w:rPr>
                    <m:t>PSNR</m:t>
                  </m:r>
                  <m:ctrlPr>
                    <w:rPr>
                      <w:rFonts w:ascii="Cambria Math" w:hAnsi="Cambria Math"/>
                      <w:i/>
                      <w:sz w:val="21"/>
                    </w:rPr>
                  </m:ctrlPr>
                </m:e>
              </m:acc>
            </m:oMath>
            <w:r>
              <w:rPr>
                <w:rFonts w:hint="eastAsia"/>
                <w:szCs w:val="18"/>
              </w:rPr>
              <w:t>≤20.0</w:t>
            </w:r>
          </w:p>
        </w:tc>
      </w:tr>
      <w:tr w14:paraId="7F45BB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84" w:hRule="atLeast"/>
          <w:jc w:val="center"/>
        </w:trPr>
        <w:tc>
          <w:tcPr>
            <w:tcW w:w="3114" w:type="dxa"/>
            <w:tcBorders>
              <w:top w:val="single" w:color="auto" w:sz="8" w:space="0"/>
            </w:tcBorders>
            <w:vAlign w:val="center"/>
          </w:tcPr>
          <w:p w14:paraId="05C43175">
            <w:pPr>
              <w:pStyle w:val="184"/>
            </w:pPr>
            <w:r>
              <w:rPr>
                <w:rFonts w:hint="eastAsia"/>
              </w:rPr>
              <w:t>画质等级</w:t>
            </w:r>
          </w:p>
        </w:tc>
        <w:tc>
          <w:tcPr>
            <w:tcW w:w="3115" w:type="dxa"/>
            <w:tcBorders>
              <w:top w:val="single" w:color="auto" w:sz="8" w:space="0"/>
            </w:tcBorders>
            <w:vAlign w:val="center"/>
          </w:tcPr>
          <w:p w14:paraId="52AA1BC9">
            <w:pPr>
              <w:pStyle w:val="184"/>
            </w:pPr>
            <w:bookmarkStart w:id="152" w:name="_GoBack"/>
            <w:bookmarkEnd w:id="152"/>
            <w:r>
              <w:rPr>
                <w:rFonts w:hint="eastAsia"/>
              </w:rPr>
              <w:t>视觉无损画质</w:t>
            </w:r>
          </w:p>
        </w:tc>
        <w:tc>
          <w:tcPr>
            <w:tcW w:w="3115" w:type="dxa"/>
            <w:tcBorders>
              <w:top w:val="single" w:color="auto" w:sz="8" w:space="0"/>
            </w:tcBorders>
            <w:vAlign w:val="center"/>
          </w:tcPr>
          <w:p w14:paraId="62F8D665">
            <w:pPr>
              <w:pStyle w:val="184"/>
            </w:pPr>
            <w:r>
              <w:rPr>
                <w:rFonts w:hint="eastAsia"/>
              </w:rPr>
              <w:t>优质画质</w:t>
            </w:r>
          </w:p>
        </w:tc>
      </w:tr>
    </w:tbl>
    <w:p w14:paraId="3084969E">
      <w:pPr>
        <w:pStyle w:val="62"/>
        <w:ind w:firstLine="420"/>
      </w:pPr>
    </w:p>
    <w:p w14:paraId="50023891">
      <w:pPr>
        <w:pStyle w:val="71"/>
        <w:spacing w:before="120" w:after="120"/>
        <w:rPr>
          <w:rFonts w:hint="eastAsia" w:hAnsi="黑体"/>
        </w:rPr>
      </w:pPr>
      <w:bookmarkStart w:id="104" w:name="_Toc3954"/>
      <w:r>
        <w:rPr>
          <w:rFonts w:hint="eastAsia" w:hAnsi="黑体"/>
        </w:rPr>
        <w:t>显示刷新率</w:t>
      </w:r>
      <w:bookmarkEnd w:id="102"/>
      <w:r>
        <w:rPr>
          <w:rFonts w:hint="eastAsia" w:hAnsi="黑体"/>
        </w:rPr>
        <w:t>测量</w:t>
      </w:r>
      <w:bookmarkEnd w:id="104"/>
    </w:p>
    <w:p w14:paraId="0040E8B3">
      <w:pPr>
        <w:pStyle w:val="62"/>
        <w:ind w:firstLine="420"/>
      </w:pPr>
      <w:r>
        <w:rPr>
          <w:rFonts w:hint="eastAsia"/>
        </w:rPr>
        <w:t>显示刷新率测量步骤如下：</w:t>
      </w:r>
    </w:p>
    <w:p w14:paraId="552BBC38">
      <w:pPr>
        <w:pStyle w:val="180"/>
        <w:numPr>
          <w:ilvl w:val="0"/>
          <w:numId w:val="39"/>
        </w:numPr>
      </w:pPr>
      <w:r>
        <w:rPr>
          <w:rFonts w:hint="eastAsia"/>
        </w:rPr>
        <w:t>通过预置程序，使得</w:t>
      </w:r>
      <w:r>
        <w:rPr>
          <w:rFonts w:hint="eastAsia" w:hAnsi="宋体"/>
        </w:rPr>
        <w:t>被测设备</w:t>
      </w:r>
      <w:r>
        <w:rPr>
          <w:rFonts w:hint="eastAsia"/>
        </w:rPr>
        <w:t>的显示部分以最快频率刷新画面，交替显示白场测量信号与黑场测量信号；</w:t>
      </w:r>
    </w:p>
    <w:p w14:paraId="09E09C19">
      <w:pPr>
        <w:pStyle w:val="180"/>
      </w:pPr>
      <w:r>
        <w:rPr>
          <w:rFonts w:hint="eastAsia"/>
        </w:rPr>
        <w:t>用示波器连接光敏探测器，将探测器固定在显示屏幕的中心位置；</w:t>
      </w:r>
    </w:p>
    <w:p w14:paraId="08D10E3A">
      <w:pPr>
        <w:pStyle w:val="180"/>
      </w:pPr>
      <w:r>
        <w:t>调整示波器显示光敏探测器电流变化周期</w:t>
      </w:r>
      <m:oMath>
        <m:r>
          <m:rPr/>
          <w:rPr>
            <w:rFonts w:ascii="Cambria Math" w:hAnsi="Cambria Math"/>
          </w:rPr>
          <m:t>T</m:t>
        </m:r>
      </m:oMath>
      <w:r>
        <w:rPr>
          <w:rFonts w:hint="eastAsia"/>
        </w:rPr>
        <w:t>；</w:t>
      </w:r>
    </w:p>
    <w:p w14:paraId="571B81D0">
      <w:pPr>
        <w:pStyle w:val="180"/>
      </w:pPr>
      <w:r>
        <w:rPr>
          <w:rFonts w:hint="eastAsia"/>
        </w:rPr>
        <w:t>按照公式（8）计算显示刷新率</w:t>
      </w:r>
      <m:oMath>
        <m:r>
          <m:rPr/>
          <w:rPr>
            <w:rFonts w:ascii="Cambria Math" w:hAnsi="Cambria Math"/>
          </w:rPr>
          <m:t>FC</m:t>
        </m:r>
      </m:oMath>
      <w:r>
        <w:rPr>
          <w:rFonts w:hint="eastAsia"/>
        </w:rPr>
        <w:t>；</w:t>
      </w:r>
    </w:p>
    <w:p w14:paraId="554FF1FC">
      <w:pPr>
        <w:pStyle w:val="119"/>
        <w:rPr>
          <w:rFonts w:hint="eastAsia"/>
        </w:rPr>
      </w:pPr>
      <w:r>
        <w:rPr>
          <w:rFonts w:hint="eastAsia"/>
        </w:rPr>
        <w:tab/>
      </w:r>
      <m:oMath>
        <m:r>
          <m:rPr/>
          <w:rPr>
            <w:rFonts w:ascii="Cambria Math" w:hAnsi="Cambria Math"/>
          </w:rPr>
          <m:t>FC=</m:t>
        </m:r>
        <m:f>
          <m:fPr>
            <m:type m:val="lin"/>
            <m:ctrlPr>
              <w:rPr>
                <w:rFonts w:ascii="Cambria Math" w:hAnsi="Cambria Math"/>
                <w:i/>
              </w:rPr>
            </m:ctrlPr>
          </m:fPr>
          <m:num>
            <m:r>
              <m:rPr/>
              <w:rPr>
                <w:rFonts w:ascii="Cambria Math" w:hAnsi="Cambria Math"/>
              </w:rPr>
              <m:t>1</m:t>
            </m:r>
            <m:ctrlPr>
              <w:rPr>
                <w:rFonts w:ascii="Cambria Math" w:hAnsi="Cambria Math"/>
                <w:i/>
              </w:rPr>
            </m:ctrlPr>
          </m:num>
          <m:den>
            <m:r>
              <m:rPr/>
              <w:rPr>
                <w:rFonts w:ascii="Cambria Math" w:hAnsi="Cambria Math"/>
              </w:rPr>
              <m:t>T</m:t>
            </m:r>
            <m:ctrlPr>
              <w:rPr>
                <w:rFonts w:ascii="Cambria Math" w:hAnsi="Cambria Math"/>
                <w:i/>
              </w:rPr>
            </m:ctrlPr>
          </m:den>
        </m:f>
      </m:oMath>
      <w:r>
        <w:rPr>
          <w:rFonts w:hint="eastAsia" w:ascii="微软雅黑" w:hAnsi="微软雅黑" w:eastAsia="微软雅黑"/>
        </w:rPr>
        <w:tab/>
      </w:r>
      <w:r>
        <w:t>(</w:t>
      </w:r>
      <w:r>
        <w:rPr>
          <w:rFonts w:hint="eastAsia"/>
        </w:rPr>
        <w:t>8</w:t>
      </w:r>
      <w:r>
        <w:t>)</w:t>
      </w:r>
    </w:p>
    <w:p w14:paraId="77034030">
      <w:pPr>
        <w:pStyle w:val="61"/>
        <w:ind w:firstLine="420"/>
      </w:pPr>
      <w:r>
        <w:rPr>
          <w:rFonts w:hint="eastAsia"/>
        </w:rPr>
        <w:t>式中：</w:t>
      </w:r>
    </w:p>
    <w:p w14:paraId="52C26401">
      <w:pPr>
        <w:pStyle w:val="62"/>
        <w:ind w:firstLine="420"/>
      </w:pPr>
      <m:oMath>
        <m:r>
          <m:rPr/>
          <w:rPr>
            <w:rFonts w:ascii="Cambria Math" w:hAnsi="Cambria Math"/>
          </w:rPr>
          <m:t>FC</m:t>
        </m:r>
      </m:oMath>
      <w:r>
        <w:t xml:space="preserve">—— </w:t>
      </w:r>
      <w:r>
        <w:rPr>
          <w:rFonts w:hint="eastAsia"/>
        </w:rPr>
        <w:t>显示刷新率；</w:t>
      </w:r>
    </w:p>
    <w:p w14:paraId="068349DE">
      <w:pPr>
        <w:pStyle w:val="62"/>
        <w:ind w:firstLine="420"/>
      </w:pPr>
      <m:oMath>
        <m:r>
          <m:rPr/>
          <w:rPr>
            <w:rFonts w:ascii="Cambria Math" w:hAnsi="Cambria Math"/>
          </w:rPr>
          <m:t>T</m:t>
        </m:r>
      </m:oMath>
      <w:r>
        <w:rPr>
          <w:rFonts w:hint="eastAsia"/>
        </w:rPr>
        <w:t xml:space="preserve"> </w:t>
      </w:r>
      <w:r>
        <w:t>——</w:t>
      </w:r>
      <w:r>
        <w:rPr>
          <w:rFonts w:hint="eastAsia"/>
        </w:rPr>
        <w:t>周期。</w:t>
      </w:r>
    </w:p>
    <w:p w14:paraId="75B57268">
      <w:pPr>
        <w:pStyle w:val="185"/>
      </w:pPr>
      <w:bookmarkStart w:id="105" w:name="OLE_LINK4"/>
      <w:r>
        <w:rPr>
          <w:rFonts w:hint="eastAsia"/>
        </w:rPr>
        <w:t>本测量方法参考自</w:t>
      </w:r>
      <w:r>
        <w:t>SJ/T 11</w:t>
      </w:r>
      <w:r>
        <w:rPr>
          <w:rFonts w:hint="eastAsia"/>
        </w:rPr>
        <w:t>281—</w:t>
      </w:r>
      <w:r>
        <w:t>20</w:t>
      </w:r>
      <w:r>
        <w:rPr>
          <w:rFonts w:hint="eastAsia"/>
        </w:rPr>
        <w:t>17的5.3.2。</w:t>
      </w:r>
    </w:p>
    <w:bookmarkEnd w:id="105"/>
    <w:p w14:paraId="4CF2F8CA">
      <w:pPr>
        <w:pStyle w:val="71"/>
        <w:spacing w:before="120" w:after="120"/>
        <w:rPr>
          <w:szCs w:val="21"/>
        </w:rPr>
      </w:pPr>
      <w:bookmarkStart w:id="106" w:name="_Toc190791368"/>
      <w:bookmarkStart w:id="107" w:name="_Toc25328"/>
      <w:r>
        <w:rPr>
          <w:rFonts w:hint="eastAsia"/>
        </w:rPr>
        <w:t>亮度对比度测量</w:t>
      </w:r>
      <w:bookmarkEnd w:id="106"/>
      <w:bookmarkEnd w:id="107"/>
    </w:p>
    <w:p w14:paraId="203F44B6">
      <w:pPr>
        <w:pStyle w:val="62"/>
        <w:ind w:firstLine="420"/>
        <w:rPr>
          <w:szCs w:val="21"/>
        </w:rPr>
      </w:pPr>
      <w:r>
        <w:rPr>
          <w:rFonts w:hint="eastAsia"/>
        </w:rPr>
        <w:t>亮度对比度测量步骤</w:t>
      </w:r>
      <w:r>
        <w:rPr>
          <w:rFonts w:hint="eastAsia"/>
          <w:szCs w:val="21"/>
        </w:rPr>
        <w:t>如下：</w:t>
      </w:r>
    </w:p>
    <w:p w14:paraId="363BC01A">
      <w:pPr>
        <w:pStyle w:val="180"/>
        <w:numPr>
          <w:ilvl w:val="0"/>
          <w:numId w:val="40"/>
        </w:numPr>
      </w:pPr>
      <w:r>
        <w:rPr>
          <w:rFonts w:hint="eastAsia"/>
        </w:rPr>
        <w:t>将</w:t>
      </w:r>
      <w:r>
        <w:rPr>
          <w:rFonts w:hint="eastAsia" w:hAnsi="宋体"/>
        </w:rPr>
        <w:t>被测设备</w:t>
      </w:r>
      <w:r>
        <w:rPr>
          <w:rFonts w:hint="eastAsia"/>
        </w:rPr>
        <w:t>与成像式亮度计置于暗室中，将成像式亮度计放置在</w:t>
      </w:r>
      <w:r>
        <w:rPr>
          <w:rFonts w:hint="eastAsia" w:hAnsi="宋体"/>
        </w:rPr>
        <w:t>被测设备</w:t>
      </w:r>
      <w:r>
        <w:rPr>
          <w:rFonts w:hint="eastAsia"/>
        </w:rPr>
        <w:t>的出瞳位置；</w:t>
      </w:r>
    </w:p>
    <w:p w14:paraId="2D4571F3">
      <w:pPr>
        <w:pStyle w:val="180"/>
      </w:pPr>
      <w:r>
        <w:rPr>
          <w:rFonts w:hint="eastAsia"/>
        </w:rPr>
        <w:t>启动</w:t>
      </w:r>
      <w:r>
        <w:rPr>
          <w:rFonts w:hint="eastAsia" w:hAnsi="宋体"/>
        </w:rPr>
        <w:t>被测设备</w:t>
      </w:r>
      <w:r>
        <w:rPr>
          <w:rFonts w:hint="eastAsia"/>
        </w:rPr>
        <w:t>，在</w:t>
      </w:r>
      <w:r>
        <w:rPr>
          <w:rFonts w:hint="eastAsia" w:hAnsi="宋体"/>
        </w:rPr>
        <w:t>被测设备的屏幕上</w:t>
      </w:r>
      <w:r>
        <w:rPr>
          <w:rFonts w:hint="eastAsia"/>
        </w:rPr>
        <w:t xml:space="preserve">显示黑场测量信号，记录此时的亮度值，10 </w:t>
      </w:r>
      <w:r>
        <w:t>min</w:t>
      </w:r>
      <w:r>
        <w:rPr>
          <w:rFonts w:hint="eastAsia"/>
        </w:rPr>
        <w:t>内重复记录3次，取黑场亮度平均值</w:t>
      </w:r>
      <m:oMath>
        <m:sSub>
          <m:sSubPr>
            <m:ctrlPr>
              <w:rPr>
                <w:rFonts w:ascii="Cambria Math" w:hAnsi="Cambria Math"/>
                <w:i/>
              </w:rPr>
            </m:ctrlPr>
          </m:sSubPr>
          <m:e>
            <m:r>
              <m:rPr/>
              <w:rPr>
                <w:rFonts w:ascii="Cambria Math" w:hAnsi="Cambria Math"/>
              </w:rPr>
              <m:t>L</m:t>
            </m:r>
            <m:ctrlPr>
              <w:rPr>
                <w:rFonts w:ascii="Cambria Math" w:hAnsi="Cambria Math"/>
                <w:i/>
              </w:rPr>
            </m:ctrlPr>
          </m:e>
          <m:sub>
            <m:r>
              <m:rPr/>
              <w:rPr>
                <w:rFonts w:ascii="Cambria Math" w:hAnsi="Cambria Math"/>
              </w:rPr>
              <m:t>min</m:t>
            </m:r>
            <m:ctrlPr>
              <w:rPr>
                <w:rFonts w:ascii="Cambria Math" w:hAnsi="Cambria Math"/>
                <w:i/>
              </w:rPr>
            </m:ctrlPr>
          </m:sub>
        </m:sSub>
      </m:oMath>
      <w:r>
        <w:rPr>
          <w:rFonts w:hint="eastAsia"/>
        </w:rPr>
        <w:t>；</w:t>
      </w:r>
    </w:p>
    <w:p w14:paraId="5C313C36">
      <w:pPr>
        <w:pStyle w:val="180"/>
      </w:pPr>
      <w:r>
        <w:rPr>
          <w:rFonts w:hint="eastAsia"/>
        </w:rPr>
        <w:t xml:space="preserve">显示白场测量信号，记录此时的亮度值，10 </w:t>
      </w:r>
      <w:r>
        <w:t>min</w:t>
      </w:r>
      <w:r>
        <w:rPr>
          <w:rFonts w:hint="eastAsia"/>
        </w:rPr>
        <w:t>内重复记录3次，取白场亮度平均值</w:t>
      </w:r>
      <m:oMath>
        <m:sSub>
          <m:sSubPr>
            <m:ctrlPr>
              <w:rPr>
                <w:rFonts w:ascii="Cambria Math" w:hAnsi="Cambria Math"/>
                <w:i/>
              </w:rPr>
            </m:ctrlPr>
          </m:sSubPr>
          <m:e>
            <m:r>
              <m:rPr/>
              <w:rPr>
                <w:rFonts w:ascii="Cambria Math" w:hAnsi="Cambria Math"/>
              </w:rPr>
              <m:t>L</m:t>
            </m:r>
            <m:ctrlPr>
              <w:rPr>
                <w:rFonts w:ascii="Cambria Math" w:hAnsi="Cambria Math"/>
                <w:i/>
              </w:rPr>
            </m:ctrlPr>
          </m:e>
          <m:sub>
            <m:r>
              <m:rPr/>
              <w:rPr>
                <w:rFonts w:ascii="Cambria Math" w:hAnsi="Cambria Math"/>
              </w:rPr>
              <m:t>max</m:t>
            </m:r>
            <m:ctrlPr>
              <w:rPr>
                <w:rFonts w:ascii="Cambria Math" w:hAnsi="Cambria Math"/>
                <w:i/>
              </w:rPr>
            </m:ctrlPr>
          </m:sub>
        </m:sSub>
      </m:oMath>
      <w:r>
        <w:rPr>
          <w:rFonts w:hint="eastAsia"/>
        </w:rPr>
        <w:t>；</w:t>
      </w:r>
    </w:p>
    <w:p w14:paraId="67DFC1A6">
      <w:pPr>
        <w:pStyle w:val="180"/>
      </w:pPr>
      <w:r>
        <w:rPr>
          <w:rFonts w:hint="eastAsia"/>
        </w:rPr>
        <w:t>按照公式（9）计算亮度对比度</w:t>
      </w:r>
      <m:oMath>
        <m:r>
          <m:rPr/>
          <w:rPr>
            <w:rFonts w:ascii="Cambria Math" w:hAnsi="Cambria Math"/>
          </w:rPr>
          <m:t>C</m:t>
        </m:r>
      </m:oMath>
      <w:r>
        <w:rPr>
          <w:rFonts w:hint="eastAsia"/>
        </w:rPr>
        <w:t>；</w:t>
      </w:r>
    </w:p>
    <w:p w14:paraId="0E14FBF0">
      <w:pPr>
        <w:pStyle w:val="119"/>
        <w:rPr>
          <w:rFonts w:hint="eastAsia"/>
        </w:rPr>
      </w:pPr>
      <w:r>
        <w:rPr>
          <w:rFonts w:hint="eastAsia"/>
        </w:rPr>
        <w:tab/>
      </w:r>
      <m:oMath>
        <m:r>
          <m:rPr/>
          <w:rPr>
            <w:rFonts w:ascii="Cambria Math" w:hAnsi="Cambria Math"/>
          </w:rPr>
          <m:t>C=</m:t>
        </m:r>
        <m:f>
          <m:fPr>
            <m:type m:val="lin"/>
            <m:ctrlPr>
              <w:rPr>
                <w:rFonts w:ascii="Cambria Math" w:hAnsi="Cambria Math"/>
                <w:i/>
              </w:rPr>
            </m:ctrlPr>
          </m:fPr>
          <m:num>
            <m:sSub>
              <m:sSubPr>
                <m:ctrlPr>
                  <w:rPr>
                    <w:rFonts w:ascii="Cambria Math" w:hAnsi="Cambria Math"/>
                    <w:i/>
                  </w:rPr>
                </m:ctrlPr>
              </m:sSubPr>
              <m:e>
                <m:r>
                  <m:rPr/>
                  <w:rPr>
                    <w:rFonts w:ascii="Cambria Math" w:hAnsi="Cambria Math"/>
                  </w:rPr>
                  <m:t>L</m:t>
                </m:r>
                <m:ctrlPr>
                  <w:rPr>
                    <w:rFonts w:ascii="Cambria Math" w:hAnsi="Cambria Math"/>
                    <w:i/>
                  </w:rPr>
                </m:ctrlPr>
              </m:e>
              <m:sub>
                <m:r>
                  <m:rPr/>
                  <w:rPr>
                    <w:rFonts w:ascii="Cambria Math" w:hAnsi="Cambria Math"/>
                  </w:rPr>
                  <m:t>max</m:t>
                </m:r>
                <m:ctrlPr>
                  <w:rPr>
                    <w:rFonts w:ascii="Cambria Math" w:hAnsi="Cambria Math"/>
                    <w:i/>
                  </w:rPr>
                </m:ctrlPr>
              </m:sub>
            </m:sSub>
            <m:ctrlPr>
              <w:rPr>
                <w:rFonts w:ascii="Cambria Math" w:hAnsi="Cambria Math"/>
                <w:i/>
              </w:rPr>
            </m:ctrlPr>
          </m:num>
          <m:den>
            <m:sSub>
              <m:sSubPr>
                <m:ctrlPr>
                  <w:rPr>
                    <w:rFonts w:ascii="Cambria Math" w:hAnsi="Cambria Math"/>
                    <w:i/>
                  </w:rPr>
                </m:ctrlPr>
              </m:sSubPr>
              <m:e>
                <m:r>
                  <m:rPr/>
                  <w:rPr>
                    <w:rFonts w:ascii="Cambria Math" w:hAnsi="Cambria Math"/>
                  </w:rPr>
                  <m:t>L</m:t>
                </m:r>
                <m:ctrlPr>
                  <w:rPr>
                    <w:rFonts w:ascii="Cambria Math" w:hAnsi="Cambria Math"/>
                    <w:i/>
                  </w:rPr>
                </m:ctrlPr>
              </m:e>
              <m:sub>
                <m:r>
                  <m:rPr/>
                  <w:rPr>
                    <w:rFonts w:ascii="Cambria Math" w:hAnsi="Cambria Math"/>
                  </w:rPr>
                  <m:t>min</m:t>
                </m:r>
                <m:ctrlPr>
                  <w:rPr>
                    <w:rFonts w:ascii="Cambria Math" w:hAnsi="Cambria Math"/>
                    <w:i/>
                  </w:rPr>
                </m:ctrlPr>
              </m:sub>
            </m:sSub>
            <m:ctrlPr>
              <w:rPr>
                <w:rFonts w:ascii="Cambria Math" w:hAnsi="Cambria Math"/>
                <w:i/>
              </w:rPr>
            </m:ctrlPr>
          </m:den>
        </m:f>
      </m:oMath>
      <w:r>
        <w:rPr>
          <w:rFonts w:hint="eastAsia" w:ascii="微软雅黑" w:hAnsi="微软雅黑" w:eastAsia="微软雅黑"/>
        </w:rPr>
        <w:tab/>
      </w:r>
      <w:r>
        <w:t>(</w:t>
      </w:r>
      <w:r>
        <w:rPr>
          <w:rFonts w:hint="eastAsia"/>
        </w:rPr>
        <w:t>9</w:t>
      </w:r>
      <w:r>
        <w:t>)</w:t>
      </w:r>
    </w:p>
    <w:p w14:paraId="5611D89D">
      <w:pPr>
        <w:pStyle w:val="61"/>
        <w:ind w:firstLine="420"/>
      </w:pPr>
      <w:r>
        <w:rPr>
          <w:rFonts w:hint="eastAsia"/>
        </w:rPr>
        <w:t>式中：</w:t>
      </w:r>
    </w:p>
    <w:p w14:paraId="05AFE23E">
      <w:pPr>
        <w:pStyle w:val="62"/>
        <w:ind w:firstLine="420"/>
        <w:rPr>
          <w:rFonts w:hint="eastAsia" w:hAnsi="宋体"/>
          <w:sz w:val="2"/>
          <w:szCs w:val="2"/>
        </w:rPr>
      </w:pPr>
      <m:oMath>
        <m:r>
          <m:rPr/>
          <w:rPr>
            <w:rFonts w:ascii="Cambria Math" w:hAnsi="Cambria Math"/>
          </w:rPr>
          <m:t xml:space="preserve">C       </m:t>
        </m:r>
      </m:oMath>
      <w:r>
        <w:rPr>
          <w:rFonts w:hint="eastAsia" w:hAnsi="宋体"/>
          <w:i/>
        </w:rPr>
        <w:t>——</w:t>
      </w:r>
      <w:r>
        <w:rPr>
          <w:rFonts w:hint="eastAsia" w:hAnsi="宋体"/>
        </w:rPr>
        <w:t>亮度对比度；</w:t>
      </w:r>
    </w:p>
    <w:p w14:paraId="47872AE2">
      <w:pPr>
        <w:pStyle w:val="62"/>
        <w:ind w:firstLine="420"/>
        <w:rPr>
          <w:rFonts w:hint="eastAsia" w:hAnsi="宋体"/>
          <w:i/>
        </w:rPr>
      </w:pPr>
      <m:oMath>
        <m:sSub>
          <m:sSubPr>
            <m:ctrlPr>
              <w:rPr>
                <w:rFonts w:ascii="Cambria Math" w:hAnsi="Cambria Math"/>
                <w:i/>
                <w:kern w:val="2"/>
                <w:szCs w:val="21"/>
              </w:rPr>
            </m:ctrlPr>
          </m:sSubPr>
          <m:e>
            <m:r>
              <m:rPr/>
              <w:rPr>
                <w:rFonts w:ascii="Cambria Math" w:hAnsi="Cambria Math"/>
              </w:rPr>
              <m:t>L</m:t>
            </m:r>
            <m:ctrlPr>
              <w:rPr>
                <w:rFonts w:ascii="Cambria Math" w:hAnsi="Cambria Math"/>
                <w:i/>
                <w:kern w:val="2"/>
                <w:szCs w:val="21"/>
              </w:rPr>
            </m:ctrlPr>
          </m:e>
          <m:sub>
            <m:r>
              <m:rPr/>
              <w:rPr>
                <w:rFonts w:ascii="Cambria Math" w:hAnsi="Cambria Math"/>
              </w:rPr>
              <m:t>max</m:t>
            </m:r>
            <m:ctrlPr>
              <w:rPr>
                <w:rFonts w:ascii="Cambria Math" w:hAnsi="Cambria Math"/>
                <w:i/>
                <w:kern w:val="2"/>
                <w:szCs w:val="21"/>
              </w:rPr>
            </m:ctrlPr>
          </m:sub>
        </m:sSub>
      </m:oMath>
      <w:r>
        <w:rPr>
          <w:rFonts w:hint="eastAsia" w:hAnsi="宋体"/>
          <w:i/>
        </w:rPr>
        <w:t>——</w:t>
      </w:r>
      <w:r>
        <w:rPr>
          <w:rFonts w:hint="eastAsia" w:hAnsi="宋体"/>
        </w:rPr>
        <w:t>白场</w:t>
      </w:r>
      <w:r>
        <w:rPr>
          <w:rFonts w:hint="eastAsia"/>
        </w:rPr>
        <w:t>测量信号</w:t>
      </w:r>
      <w:r>
        <w:rPr>
          <w:rFonts w:hint="eastAsia" w:hAnsi="宋体"/>
        </w:rPr>
        <w:t>亮度的平均值，单位为cd/m²</w:t>
      </w:r>
      <w:r>
        <w:rPr>
          <w:rFonts w:hint="eastAsia" w:hAnsi="宋体"/>
          <w:iCs/>
        </w:rPr>
        <w:t>;</w:t>
      </w:r>
    </w:p>
    <w:p w14:paraId="2784E915">
      <w:pPr>
        <w:pStyle w:val="62"/>
        <w:ind w:firstLine="420"/>
        <w:rPr>
          <w:rFonts w:hint="eastAsia" w:hAnsi="宋体"/>
        </w:rPr>
      </w:pPr>
      <m:oMath>
        <m:sSub>
          <m:sSubPr>
            <m:ctrlPr>
              <w:rPr>
                <w:rFonts w:ascii="Cambria Math" w:hAnsi="Cambria Math"/>
                <w:i/>
                <w:kern w:val="2"/>
                <w:szCs w:val="21"/>
              </w:rPr>
            </m:ctrlPr>
          </m:sSubPr>
          <m:e>
            <m:r>
              <m:rPr/>
              <w:rPr>
                <w:rFonts w:ascii="Cambria Math" w:hAnsi="Cambria Math"/>
              </w:rPr>
              <m:t>L</m:t>
            </m:r>
            <m:ctrlPr>
              <w:rPr>
                <w:rFonts w:ascii="Cambria Math" w:hAnsi="Cambria Math"/>
                <w:i/>
                <w:kern w:val="2"/>
                <w:szCs w:val="21"/>
              </w:rPr>
            </m:ctrlPr>
          </m:e>
          <m:sub>
            <m:r>
              <m:rPr/>
              <w:rPr>
                <w:rFonts w:ascii="Cambria Math" w:hAnsi="Cambria Math"/>
              </w:rPr>
              <m:t>min</m:t>
            </m:r>
            <m:ctrlPr>
              <w:rPr>
                <w:rFonts w:ascii="Cambria Math" w:hAnsi="Cambria Math"/>
                <w:i/>
                <w:kern w:val="2"/>
                <w:szCs w:val="21"/>
              </w:rPr>
            </m:ctrlPr>
          </m:sub>
        </m:sSub>
        <m:r>
          <m:rPr/>
          <w:rPr>
            <w:rFonts w:ascii="Cambria Math" w:hAnsi="Cambria Math"/>
            <w:kern w:val="2"/>
            <w:szCs w:val="21"/>
          </w:rPr>
          <m:t xml:space="preserve"> </m:t>
        </m:r>
      </m:oMath>
      <w:r>
        <w:rPr>
          <w:rFonts w:hint="eastAsia" w:hAnsi="宋体"/>
          <w:i/>
        </w:rPr>
        <w:t>——</w:t>
      </w:r>
      <w:r>
        <w:rPr>
          <w:rFonts w:hint="eastAsia" w:hAnsi="宋体"/>
        </w:rPr>
        <w:t>黑场</w:t>
      </w:r>
      <w:r>
        <w:rPr>
          <w:rFonts w:hint="eastAsia"/>
        </w:rPr>
        <w:t>测量信号</w:t>
      </w:r>
      <w:r>
        <w:rPr>
          <w:rFonts w:hint="eastAsia" w:hAnsi="宋体"/>
        </w:rPr>
        <w:t>亮度的平均值，单位为</w:t>
      </w:r>
      <w:r>
        <w:rPr>
          <w:rFonts w:hAnsi="宋体"/>
        </w:rPr>
        <w:t>cd/m²</w:t>
      </w:r>
      <w:r>
        <w:rPr>
          <w:rFonts w:hint="eastAsia" w:hAnsi="宋体"/>
        </w:rPr>
        <w:t>。</w:t>
      </w:r>
    </w:p>
    <w:p w14:paraId="30EEA152">
      <w:pPr>
        <w:pStyle w:val="62"/>
        <w:ind w:firstLine="420"/>
      </w:pPr>
    </w:p>
    <w:p w14:paraId="4DAFA6B2">
      <w:pPr>
        <w:pStyle w:val="71"/>
        <w:spacing w:before="120" w:after="120"/>
        <w:rPr>
          <w:rFonts w:hint="eastAsia" w:hAnsi="黑体"/>
        </w:rPr>
      </w:pPr>
      <w:bookmarkStart w:id="108" w:name="bookmark58"/>
      <w:bookmarkEnd w:id="108"/>
      <w:bookmarkStart w:id="109" w:name="_Toc190791372"/>
      <w:bookmarkStart w:id="110" w:name="_Toc322"/>
      <w:r>
        <w:rPr>
          <w:rFonts w:hint="eastAsia" w:hAnsi="黑体"/>
        </w:rPr>
        <w:t>跟踪模式测量</w:t>
      </w:r>
      <w:bookmarkEnd w:id="109"/>
      <w:bookmarkEnd w:id="110"/>
    </w:p>
    <w:p w14:paraId="669AE7AF">
      <w:pPr>
        <w:pStyle w:val="62"/>
        <w:ind w:firstLine="420"/>
        <w:rPr>
          <w:rFonts w:hint="eastAsia" w:hAnsi="宋体"/>
        </w:rPr>
      </w:pPr>
      <w:r>
        <w:rPr>
          <w:rFonts w:hint="eastAsia"/>
        </w:rPr>
        <w:t>跟踪模式测量步骤如下：</w:t>
      </w:r>
    </w:p>
    <w:p w14:paraId="5FB7096D">
      <w:pPr>
        <w:pStyle w:val="180"/>
        <w:numPr>
          <w:ilvl w:val="0"/>
          <w:numId w:val="41"/>
        </w:numPr>
      </w:pPr>
      <w:r>
        <w:rPr>
          <w:rFonts w:hint="eastAsia"/>
        </w:rPr>
        <w:t>测试方法：</w:t>
      </w:r>
    </w:p>
    <w:p w14:paraId="0BF1872C">
      <w:pPr>
        <w:pStyle w:val="115"/>
      </w:pPr>
      <w:r>
        <w:rPr>
          <w:rFonts w:hint="eastAsia"/>
        </w:rPr>
        <w:t>在</w:t>
      </w:r>
      <w:r>
        <w:rPr>
          <w:rFonts w:hint="eastAsia" w:hAnsi="宋体"/>
        </w:rPr>
        <w:t>被测设备</w:t>
      </w:r>
      <w:r>
        <w:rPr>
          <w:rFonts w:hint="eastAsia"/>
        </w:rPr>
        <w:t>上运行虚拟现实应用软件；</w:t>
      </w:r>
    </w:p>
    <w:p w14:paraId="4BDB5E07">
      <w:pPr>
        <w:pStyle w:val="115"/>
      </w:pPr>
      <w:r>
        <w:rPr>
          <w:rFonts w:hint="eastAsia"/>
        </w:rPr>
        <w:t>检查虚拟现实应用软件能否读取</w:t>
      </w:r>
      <w:r>
        <w:rPr>
          <w:rFonts w:hint="eastAsia" w:hAnsi="宋体"/>
        </w:rPr>
        <w:t>被测设备</w:t>
      </w:r>
      <w:r>
        <w:rPr>
          <w:rFonts w:hint="eastAsia"/>
        </w:rPr>
        <w:t>自身的位置姿态数据。</w:t>
      </w:r>
    </w:p>
    <w:p w14:paraId="39B3117A">
      <w:pPr>
        <w:pStyle w:val="180"/>
      </w:pPr>
      <w:r>
        <w:rPr>
          <w:rFonts w:hint="eastAsia"/>
        </w:rPr>
        <w:t>预期结果：</w:t>
      </w:r>
    </w:p>
    <w:p w14:paraId="25B2547B">
      <w:pPr>
        <w:pStyle w:val="115"/>
        <w:numPr>
          <w:ilvl w:val="255"/>
          <w:numId w:val="0"/>
        </w:numPr>
        <w:ind w:left="851"/>
      </w:pPr>
      <w:r>
        <w:rPr>
          <w:rFonts w:hint="eastAsia"/>
        </w:rPr>
        <w:t>虚拟现实应用软件在</w:t>
      </w:r>
      <w:r>
        <w:rPr>
          <w:rFonts w:hint="eastAsia" w:hAnsi="宋体"/>
        </w:rPr>
        <w:t>被测设备</w:t>
      </w:r>
      <w:r>
        <w:rPr>
          <w:rFonts w:hint="eastAsia"/>
        </w:rPr>
        <w:t>中能正常运行，其位置姿态数据的读取有以下4种情况：</w:t>
      </w:r>
    </w:p>
    <w:p w14:paraId="455FC062">
      <w:pPr>
        <w:pStyle w:val="115"/>
        <w:tabs>
          <w:tab w:val="left" w:pos="640"/>
          <w:tab w:val="clear" w:pos="1276"/>
        </w:tabs>
        <w:ind w:left="636" w:leftChars="303" w:firstLine="201" w:firstLineChars="96"/>
      </w:pPr>
      <w:r>
        <w:rPr>
          <w:rFonts w:hint="eastAsia"/>
        </w:rPr>
        <w:t>能够读取数据，返回位置数据与姿态数据；</w:t>
      </w:r>
    </w:p>
    <w:p w14:paraId="0564574E">
      <w:pPr>
        <w:pStyle w:val="115"/>
        <w:tabs>
          <w:tab w:val="left" w:pos="640"/>
          <w:tab w:val="clear" w:pos="1276"/>
        </w:tabs>
        <w:ind w:left="636" w:leftChars="303" w:firstLine="201" w:firstLineChars="96"/>
      </w:pPr>
      <w:r>
        <w:rPr>
          <w:rFonts w:hint="eastAsia"/>
        </w:rPr>
        <w:t>能够读取数据，返回姿态数据；</w:t>
      </w:r>
    </w:p>
    <w:p w14:paraId="75760DCB">
      <w:pPr>
        <w:pStyle w:val="115"/>
        <w:tabs>
          <w:tab w:val="left" w:pos="640"/>
          <w:tab w:val="clear" w:pos="1276"/>
        </w:tabs>
        <w:ind w:left="636" w:leftChars="303" w:firstLine="201" w:firstLineChars="96"/>
      </w:pPr>
      <w:r>
        <w:rPr>
          <w:rFonts w:hint="eastAsia"/>
        </w:rPr>
        <w:t>能够读取数据，返回数据为空；</w:t>
      </w:r>
    </w:p>
    <w:p w14:paraId="4CFC295E">
      <w:pPr>
        <w:pStyle w:val="115"/>
        <w:tabs>
          <w:tab w:val="left" w:pos="640"/>
          <w:tab w:val="clear" w:pos="1276"/>
        </w:tabs>
        <w:ind w:left="636" w:leftChars="303" w:firstLine="201" w:firstLineChars="96"/>
      </w:pPr>
      <w:r>
        <w:rPr>
          <w:rFonts w:hint="eastAsia"/>
        </w:rPr>
        <w:t>不能够读取数据。</w:t>
      </w:r>
    </w:p>
    <w:p w14:paraId="00CBE879">
      <w:pPr>
        <w:pStyle w:val="180"/>
      </w:pPr>
      <w:r>
        <w:rPr>
          <w:rFonts w:hint="eastAsia"/>
        </w:rPr>
        <w:t>结果判定：</w:t>
      </w:r>
    </w:p>
    <w:p w14:paraId="29A21DF5">
      <w:pPr>
        <w:pStyle w:val="115"/>
        <w:numPr>
          <w:ilvl w:val="1"/>
          <w:numId w:val="42"/>
        </w:numPr>
        <w:rPr>
          <w:rFonts w:ascii="Times New Roman"/>
        </w:rPr>
      </w:pPr>
      <w:r>
        <w:rPr>
          <w:rFonts w:hint="eastAsia"/>
        </w:rPr>
        <w:t>若为预期结果</w:t>
      </w:r>
      <w:r>
        <w:rPr>
          <w:rFonts w:hAnsi="宋体"/>
        </w:rPr>
        <w:t>b)</w:t>
      </w:r>
      <w:r>
        <w:rPr>
          <w:rFonts w:hint="eastAsia" w:hAnsi="宋体"/>
        </w:rPr>
        <w:t>1</w:t>
      </w:r>
      <w:r>
        <w:rPr>
          <w:rFonts w:hAnsi="宋体"/>
        </w:rPr>
        <w:t>)</w:t>
      </w:r>
      <w:r>
        <w:rPr>
          <w:rFonts w:hint="eastAsia" w:ascii="Times New Roman"/>
        </w:rPr>
        <w:t>，</w:t>
      </w:r>
      <w:r>
        <w:rPr>
          <w:rFonts w:hint="eastAsia"/>
        </w:rPr>
        <w:t xml:space="preserve">则该设备的跟踪模式判定为6 </w:t>
      </w:r>
      <w:r>
        <w:rPr>
          <w:rFonts w:hAnsi="宋体"/>
        </w:rPr>
        <w:t>DOF</w:t>
      </w:r>
      <w:r>
        <w:rPr>
          <w:rFonts w:hint="eastAsia" w:hAnsi="宋体"/>
        </w:rPr>
        <w:t>；</w:t>
      </w:r>
    </w:p>
    <w:p w14:paraId="4B641C17">
      <w:pPr>
        <w:pStyle w:val="115"/>
        <w:numPr>
          <w:ilvl w:val="1"/>
          <w:numId w:val="42"/>
        </w:numPr>
        <w:rPr>
          <w:rFonts w:ascii="Times New Roman"/>
        </w:rPr>
      </w:pPr>
      <w:r>
        <w:rPr>
          <w:rFonts w:hint="eastAsia"/>
        </w:rPr>
        <w:t>若为预期结果</w:t>
      </w:r>
      <w:r>
        <w:rPr>
          <w:rFonts w:hAnsi="宋体"/>
        </w:rPr>
        <w:t>b)</w:t>
      </w:r>
      <w:r>
        <w:rPr>
          <w:rFonts w:hint="eastAsia" w:hAnsi="宋体"/>
        </w:rPr>
        <w:t>2</w:t>
      </w:r>
      <w:r>
        <w:rPr>
          <w:rFonts w:hAnsi="宋体"/>
        </w:rPr>
        <w:t>)</w:t>
      </w:r>
      <w:r>
        <w:rPr>
          <w:rFonts w:hint="eastAsia" w:ascii="Times New Roman"/>
        </w:rPr>
        <w:t>，</w:t>
      </w:r>
      <w:r>
        <w:rPr>
          <w:rFonts w:hint="eastAsia"/>
        </w:rPr>
        <w:t>则该设备的跟踪模式判定为</w:t>
      </w:r>
      <w:r>
        <w:rPr>
          <w:rFonts w:hint="eastAsia" w:hAnsi="宋体"/>
        </w:rPr>
        <w:t xml:space="preserve">3 </w:t>
      </w:r>
      <w:r>
        <w:rPr>
          <w:rFonts w:hAnsi="宋体"/>
        </w:rPr>
        <w:t>DOF</w:t>
      </w:r>
      <w:r>
        <w:rPr>
          <w:rFonts w:hint="eastAsia" w:hAnsi="宋体"/>
        </w:rPr>
        <w:t>；</w:t>
      </w:r>
    </w:p>
    <w:p w14:paraId="5A968CC3">
      <w:pPr>
        <w:pStyle w:val="115"/>
        <w:numPr>
          <w:ilvl w:val="1"/>
          <w:numId w:val="42"/>
        </w:numPr>
        <w:rPr>
          <w:rFonts w:hint="eastAsia" w:hAnsi="宋体" w:cs="宋体"/>
        </w:rPr>
      </w:pPr>
      <w:r>
        <w:rPr>
          <w:rFonts w:hint="eastAsia"/>
        </w:rPr>
        <w:t>若为预期结果</w:t>
      </w:r>
      <w:r>
        <w:rPr>
          <w:rFonts w:hAnsi="宋体"/>
        </w:rPr>
        <w:t>b)</w:t>
      </w:r>
      <w:r>
        <w:rPr>
          <w:rFonts w:hint="eastAsia" w:hAnsi="宋体"/>
        </w:rPr>
        <w:t>3</w:t>
      </w:r>
      <w:r>
        <w:rPr>
          <w:rFonts w:hAnsi="宋体"/>
        </w:rPr>
        <w:t>)</w:t>
      </w:r>
      <w:r>
        <w:rPr>
          <w:rFonts w:hint="eastAsia" w:ascii="Times New Roman"/>
        </w:rPr>
        <w:t>，</w:t>
      </w:r>
      <w:r>
        <w:rPr>
          <w:rFonts w:hint="eastAsia"/>
        </w:rPr>
        <w:t>则该设备的跟踪模式判定为</w:t>
      </w:r>
      <w:r>
        <w:rPr>
          <w:rFonts w:hint="eastAsia" w:hAnsi="宋体"/>
        </w:rPr>
        <w:t xml:space="preserve">0 </w:t>
      </w:r>
      <w:r>
        <w:rPr>
          <w:rFonts w:hAnsi="宋体"/>
        </w:rPr>
        <w:t>DOF</w:t>
      </w:r>
      <w:r>
        <w:rPr>
          <w:rFonts w:hint="eastAsia"/>
        </w:rPr>
        <w:t>或不具有跟踪功能；</w:t>
      </w:r>
    </w:p>
    <w:p w14:paraId="5CA2F44C">
      <w:pPr>
        <w:pStyle w:val="115"/>
        <w:numPr>
          <w:ilvl w:val="1"/>
          <w:numId w:val="42"/>
        </w:numPr>
      </w:pPr>
      <w:r>
        <w:rPr>
          <w:rFonts w:hint="eastAsia"/>
        </w:rPr>
        <w:t>若为预期结果</w:t>
      </w:r>
      <w:r>
        <w:rPr>
          <w:rFonts w:hAnsi="宋体"/>
        </w:rPr>
        <w:t>b)</w:t>
      </w:r>
      <w:r>
        <w:rPr>
          <w:rFonts w:hint="eastAsia" w:hAnsi="宋体"/>
        </w:rPr>
        <w:t>4</w:t>
      </w:r>
      <w:r>
        <w:rPr>
          <w:rFonts w:hAnsi="宋体"/>
        </w:rPr>
        <w:t>)</w:t>
      </w:r>
      <w:r>
        <w:rPr>
          <w:rFonts w:ascii="Times New Roman"/>
        </w:rPr>
        <w:t xml:space="preserve">, </w:t>
      </w:r>
      <w:r>
        <w:rPr>
          <w:rFonts w:hint="eastAsia"/>
        </w:rPr>
        <w:t>则该设备的跟踪模式判定为</w:t>
      </w:r>
      <w:r>
        <w:rPr>
          <w:rFonts w:hint="eastAsia" w:hAnsi="宋体"/>
        </w:rPr>
        <w:t xml:space="preserve">0 </w:t>
      </w:r>
      <w:r>
        <w:rPr>
          <w:rFonts w:hAnsi="宋体"/>
        </w:rPr>
        <w:t>DOF</w:t>
      </w:r>
      <w:r>
        <w:rPr>
          <w:rFonts w:hint="eastAsia"/>
        </w:rPr>
        <w:t>或不具有跟踪功能。</w:t>
      </w:r>
    </w:p>
    <w:p w14:paraId="7282F12E">
      <w:pPr>
        <w:pStyle w:val="71"/>
        <w:spacing w:before="120" w:after="120"/>
      </w:pPr>
      <w:bookmarkStart w:id="111" w:name="_Toc190791373"/>
      <w:bookmarkStart w:id="112" w:name="_Toc19097"/>
      <w:r>
        <w:rPr>
          <w:rFonts w:hint="eastAsia"/>
        </w:rPr>
        <w:t>移动跟踪误差测量</w:t>
      </w:r>
      <w:bookmarkEnd w:id="111"/>
      <w:bookmarkEnd w:id="112"/>
    </w:p>
    <w:p w14:paraId="246B6F4B">
      <w:pPr>
        <w:pStyle w:val="62"/>
        <w:ind w:firstLine="420"/>
        <w:rPr>
          <w:rFonts w:hint="eastAsia" w:hAnsi="宋体"/>
        </w:rPr>
      </w:pPr>
      <w:r>
        <w:rPr>
          <w:rFonts w:hint="eastAsia"/>
        </w:rPr>
        <w:t xml:space="preserve">测试环境无光照要求，高精度光学平台的平移精度为0.1 </w:t>
      </w:r>
      <w:r>
        <w:rPr>
          <w:rFonts w:hAnsi="宋体"/>
        </w:rPr>
        <w:t>mm</w:t>
      </w:r>
      <w:r>
        <w:rPr>
          <w:rFonts w:hint="eastAsia"/>
        </w:rPr>
        <w:t>，高精度光学平台的旋转精度为0.1 °。</w:t>
      </w:r>
      <w:r>
        <w:rPr>
          <w:rFonts w:hint="eastAsia" w:hAnsi="宋体"/>
        </w:rPr>
        <w:t>被测设备</w:t>
      </w:r>
      <w:r>
        <w:rPr>
          <w:rFonts w:hint="eastAsia"/>
        </w:rPr>
        <w:t>的坐标系见图7。</w:t>
      </w:r>
    </w:p>
    <w:p w14:paraId="48995435">
      <w:pPr>
        <w:pStyle w:val="62"/>
        <w:ind w:firstLine="420"/>
        <w:jc w:val="center"/>
      </w:pPr>
      <w:r>
        <w:drawing>
          <wp:inline distT="0" distB="0" distL="0" distR="0">
            <wp:extent cx="2371725" cy="2109470"/>
            <wp:effectExtent l="0" t="0" r="0" b="5080"/>
            <wp:docPr id="105995722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957224" name="图片 1"/>
                    <pic:cNvPicPr>
                      <a:picLocks noChangeAspect="1"/>
                    </pic:cNvPicPr>
                  </pic:nvPicPr>
                  <pic:blipFill>
                    <a:blip r:embed="rId21"/>
                    <a:stretch>
                      <a:fillRect/>
                    </a:stretch>
                  </pic:blipFill>
                  <pic:spPr>
                    <a:xfrm>
                      <a:off x="0" y="0"/>
                      <a:ext cx="2382889" cy="2119483"/>
                    </a:xfrm>
                    <a:prstGeom prst="rect">
                      <a:avLst/>
                    </a:prstGeom>
                  </pic:spPr>
                </pic:pic>
              </a:graphicData>
            </a:graphic>
          </wp:inline>
        </w:drawing>
      </w:r>
    </w:p>
    <w:p w14:paraId="3D40456D">
      <w:pPr>
        <w:pStyle w:val="120"/>
        <w:spacing w:before="120" w:after="120"/>
        <w:rPr>
          <w:rFonts w:hint="eastAsia" w:hAnsi="黑体"/>
        </w:rPr>
      </w:pPr>
      <w:r>
        <w:rPr>
          <w:rFonts w:hint="eastAsia" w:hAnsi="黑体"/>
        </w:rPr>
        <w:t xml:space="preserve"> </w:t>
      </w:r>
      <w:r>
        <w:rPr>
          <w:rFonts w:hint="eastAsia"/>
        </w:rPr>
        <w:t>虚拟现实电影头戴式显示设备坐标系</w:t>
      </w:r>
    </w:p>
    <w:p w14:paraId="65B44E12">
      <w:pPr>
        <w:pStyle w:val="62"/>
        <w:ind w:firstLine="420"/>
        <w:rPr>
          <w:rFonts w:hint="eastAsia" w:hAnsi="宋体"/>
        </w:rPr>
      </w:pPr>
      <w:r>
        <w:rPr>
          <w:rFonts w:hint="eastAsia"/>
        </w:rPr>
        <w:t>在进行该测量时，规定头戴式显示器的“位置数据”的计算方法为：将</w:t>
      </w:r>
      <w:r>
        <w:rPr>
          <w:rFonts w:hint="eastAsia" w:hAnsi="宋体"/>
        </w:rPr>
        <w:t>被测设备</w:t>
      </w:r>
      <w:r>
        <w:rPr>
          <w:rFonts w:hint="eastAsia"/>
        </w:rPr>
        <w:t>静置在待测量点，读取10个跟踪系统测得的跟踪位置，取其均值作为设备在该测量点的位置数据。</w:t>
      </w:r>
    </w:p>
    <w:p w14:paraId="512402D2">
      <w:pPr>
        <w:pStyle w:val="62"/>
        <w:ind w:firstLine="420"/>
      </w:pPr>
      <w:r>
        <w:rPr>
          <w:rFonts w:hint="eastAsia"/>
        </w:rPr>
        <w:t>具体测量步骤如下：</w:t>
      </w:r>
    </w:p>
    <w:p w14:paraId="6D8D1CE9">
      <w:pPr>
        <w:pStyle w:val="180"/>
        <w:numPr>
          <w:ilvl w:val="0"/>
          <w:numId w:val="43"/>
        </w:numPr>
      </w:pPr>
      <w:r>
        <w:rPr>
          <w:rFonts w:hint="eastAsia"/>
        </w:rPr>
        <w:t>将高精度光学平台放置在由厂家提供的有效测量区域中，使</w:t>
      </w:r>
      <w:r>
        <w:rPr>
          <w:rFonts w:hint="eastAsia" w:hAnsi="宋体"/>
        </w:rPr>
        <w:t>被测设备</w:t>
      </w:r>
      <w:r>
        <w:rPr>
          <w:rFonts w:hint="eastAsia"/>
        </w:rPr>
        <w:t>固定在平台上进行平移；</w:t>
      </w:r>
    </w:p>
    <w:p w14:paraId="599B02B1">
      <w:pPr>
        <w:pStyle w:val="180"/>
        <w:rPr>
          <w:rFonts w:ascii="Times New Roman"/>
        </w:rPr>
      </w:pPr>
      <w:r>
        <w:rPr>
          <w:rFonts w:hint="eastAsia"/>
        </w:rPr>
        <w:t xml:space="preserve">设备以100 </w:t>
      </w:r>
      <w:r>
        <w:rPr>
          <w:rFonts w:hAnsi="宋体"/>
        </w:rPr>
        <w:t>mm</w:t>
      </w:r>
      <w:r>
        <w:rPr>
          <w:rFonts w:hint="eastAsia"/>
        </w:rPr>
        <w:t xml:space="preserve">为步长步进，完成9次步进，得到10个记录点的位置数据，要求每次步进间 隔不超过1 </w:t>
      </w:r>
      <w:r>
        <w:rPr>
          <w:rFonts w:hAnsi="宋体"/>
        </w:rPr>
        <w:t>min</w:t>
      </w:r>
      <w:r>
        <w:rPr>
          <w:rFonts w:hint="eastAsia" w:ascii="Times New Roman"/>
        </w:rPr>
        <w:t>，</w:t>
      </w:r>
      <w:r>
        <w:rPr>
          <w:rFonts w:hint="eastAsia"/>
        </w:rPr>
        <w:t xml:space="preserve">每次步进速度不低于0.1 </w:t>
      </w:r>
      <w:r>
        <w:rPr>
          <w:rFonts w:hAnsi="宋体"/>
        </w:rPr>
        <w:t>m/s</w:t>
      </w:r>
      <w:r>
        <w:rPr>
          <w:rFonts w:hint="eastAsia" w:ascii="Times New Roman"/>
        </w:rPr>
        <w:t>；</w:t>
      </w:r>
    </w:p>
    <w:p w14:paraId="2AC31772">
      <w:pPr>
        <w:pStyle w:val="180"/>
        <w:rPr>
          <w:rFonts w:hint="eastAsia" w:hAnsi="宋体" w:cs="宋体"/>
        </w:rPr>
      </w:pPr>
      <w:r>
        <w:rPr>
          <w:rFonts w:hint="eastAsia"/>
        </w:rPr>
        <w:t>计算各个记录点与其相邻记录点之间的距离</w:t>
      </w:r>
      <m:oMath>
        <m:sSub>
          <m:sSubPr>
            <m:ctrlPr>
              <w:rPr>
                <w:rFonts w:ascii="Cambria Math" w:hAnsi="Cambria Math"/>
                <w:i/>
              </w:rPr>
            </m:ctrlPr>
          </m:sSubPr>
          <m:e>
            <m:r>
              <m:rPr/>
              <w:rPr>
                <w:rFonts w:ascii="Cambria Math" w:hAnsi="Cambria Math"/>
              </w:rPr>
              <m:t>d</m:t>
            </m:r>
            <m:ctrlPr>
              <w:rPr>
                <w:rFonts w:ascii="Cambria Math" w:hAnsi="Cambria Math"/>
                <w:i/>
              </w:rPr>
            </m:ctrlPr>
          </m:e>
          <m:sub>
            <m:r>
              <m:rPr/>
              <w:rPr>
                <w:rFonts w:ascii="Cambria Math" w:hAnsi="Cambria Math"/>
              </w:rPr>
              <m:t>i</m:t>
            </m:r>
            <m:ctrlPr>
              <w:rPr>
                <w:rFonts w:ascii="Cambria Math" w:hAnsi="Cambria Math"/>
                <w:i/>
              </w:rPr>
            </m:ctrlPr>
          </m:sub>
        </m:sSub>
      </m:oMath>
      <w:r>
        <w:rPr>
          <w:rFonts w:hint="eastAsia" w:ascii="Times New Roman"/>
        </w:rPr>
        <w:t>（</w:t>
      </w:r>
      <w:r>
        <w:rPr>
          <w:rFonts w:ascii="Times New Roman"/>
        </w:rPr>
        <w:t>i</w:t>
      </w:r>
      <w:r>
        <w:rPr>
          <w:rFonts w:hint="eastAsia" w:hAnsi="宋体"/>
        </w:rPr>
        <w:t>=</w:t>
      </w:r>
      <w:r>
        <w:rPr>
          <w:rFonts w:ascii="Times New Roman"/>
        </w:rPr>
        <w:t>1</w:t>
      </w:r>
      <w:r>
        <w:rPr>
          <w:rFonts w:hint="eastAsia" w:ascii="Times New Roman"/>
        </w:rPr>
        <w:t>,</w:t>
      </w:r>
      <w:r>
        <w:rPr>
          <w:rFonts w:ascii="Times New Roman"/>
        </w:rPr>
        <w:t>2</w:t>
      </w:r>
      <w:r>
        <w:rPr>
          <w:rFonts w:hint="eastAsia" w:ascii="Times New Roman"/>
        </w:rPr>
        <w:t>,…,</w:t>
      </w:r>
      <w:r>
        <w:rPr>
          <w:rFonts w:ascii="Times New Roman"/>
        </w:rPr>
        <w:t>9</w:t>
      </w:r>
      <w:r>
        <w:rPr>
          <w:rFonts w:hint="eastAsia" w:ascii="Times New Roman"/>
        </w:rPr>
        <w:t>）；</w:t>
      </w:r>
    </w:p>
    <w:p w14:paraId="19672D69">
      <w:pPr>
        <w:pStyle w:val="180"/>
        <w:rPr>
          <w:rFonts w:hint="eastAsia" w:hAnsi="宋体" w:cs="宋体"/>
        </w:rPr>
      </w:pPr>
      <w:r>
        <w:rPr>
          <w:rFonts w:hint="eastAsia" w:ascii="Times New Roman"/>
        </w:rPr>
        <w:t>按照公式（10）计算</w:t>
      </w:r>
      <w:r>
        <w:rPr>
          <w:rFonts w:hint="eastAsia"/>
        </w:rPr>
        <w:t>设备的移动跟踪误差</w:t>
      </w:r>
      <m:oMath>
        <m:r>
          <m:rPr/>
          <w:rPr>
            <w:rFonts w:ascii="Cambria Math" w:hAnsi="Cambria Math"/>
          </w:rPr>
          <m:t>TTE</m:t>
        </m:r>
      </m:oMath>
      <w:r>
        <w:rPr>
          <w:rFonts w:hint="eastAsia"/>
        </w:rPr>
        <w:t>；</w:t>
      </w:r>
    </w:p>
    <w:p w14:paraId="2645C314">
      <w:pPr>
        <w:spacing w:line="70" w:lineRule="exact"/>
      </w:pPr>
      <w:r>
        <w:t xml:space="preserve"> </w:t>
      </w:r>
    </w:p>
    <w:p w14:paraId="5D599701">
      <w:pPr>
        <w:pStyle w:val="119"/>
        <w:rPr>
          <w:rFonts w:hint="eastAsia"/>
        </w:rPr>
      </w:pPr>
      <w:r>
        <w:rPr>
          <w:rFonts w:hint="eastAsia"/>
        </w:rPr>
        <w:tab/>
      </w:r>
      <m:oMath>
        <m:r>
          <m:rPr/>
          <w:rPr>
            <w:rFonts w:ascii="Cambria Math" w:hAnsi="Cambria Math"/>
          </w:rPr>
          <m:t>TTE=</m:t>
        </m:r>
        <m:d>
          <m:dPr>
            <m:begChr m:val="|"/>
            <m:endChr m:val="|"/>
            <m:ctrlPr>
              <w:rPr>
                <w:rFonts w:ascii="Cambria Math" w:hAnsi="Cambria Math"/>
                <w:i/>
              </w:rPr>
            </m:ctrlPr>
          </m:dPr>
          <m:e>
            <m:sSub>
              <m:sSubPr>
                <m:ctrlPr>
                  <w:rPr>
                    <w:rFonts w:ascii="Cambria Math" w:hAnsi="Cambria Math"/>
                    <w:i/>
                  </w:rPr>
                </m:ctrlPr>
              </m:sSubPr>
              <m:e>
                <m:r>
                  <m:rPr/>
                  <w:rPr>
                    <w:rFonts w:ascii="Cambria Math" w:hAnsi="Cambria Math"/>
                  </w:rPr>
                  <m:t>d</m:t>
                </m:r>
                <m:ctrlPr>
                  <w:rPr>
                    <w:rFonts w:ascii="Cambria Math" w:hAnsi="Cambria Math"/>
                    <w:i/>
                  </w:rPr>
                </m:ctrlPr>
              </m:e>
              <m:sub>
                <m:r>
                  <m:rPr/>
                  <w:rPr>
                    <w:rFonts w:ascii="Cambria Math" w:hAnsi="Cambria Math"/>
                  </w:rPr>
                  <m:t>step</m:t>
                </m:r>
                <m:ctrlPr>
                  <w:rPr>
                    <w:rFonts w:ascii="Cambria Math" w:hAnsi="Cambria Math"/>
                    <w:i/>
                  </w:rPr>
                </m:ctrlPr>
              </m:sub>
            </m:sSub>
            <m:r>
              <m:rPr/>
              <w:rPr>
                <w:rFonts w:ascii="Cambria Math" w:hAnsi="Cambria Math"/>
              </w:rPr>
              <m:t>−</m:t>
            </m:r>
            <m:f>
              <m:fPr>
                <m:ctrlPr>
                  <w:rPr>
                    <w:rFonts w:ascii="Cambria Math" w:hAnsi="Cambria Math"/>
                    <w:i/>
                  </w:rPr>
                </m:ctrlPr>
              </m:fPr>
              <m:num>
                <m:r>
                  <m:rPr/>
                  <w:rPr>
                    <w:rFonts w:ascii="Cambria Math" w:hAnsi="Cambria Math"/>
                  </w:rPr>
                  <m:t>1</m:t>
                </m:r>
                <m:ctrlPr>
                  <w:rPr>
                    <w:rFonts w:ascii="Cambria Math" w:hAnsi="Cambria Math"/>
                    <w:i/>
                  </w:rPr>
                </m:ctrlPr>
              </m:num>
              <m:den>
                <m:r>
                  <m:rPr/>
                  <w:rPr>
                    <w:rFonts w:ascii="Cambria Math" w:hAnsi="Cambria Math"/>
                  </w:rPr>
                  <m:t>n</m:t>
                </m:r>
                <m:ctrlPr>
                  <w:rPr>
                    <w:rFonts w:ascii="Cambria Math" w:hAnsi="Cambria Math"/>
                    <w:i/>
                  </w:rPr>
                </m:ctrlPr>
              </m:den>
            </m:f>
            <m:r>
              <m:rPr/>
              <w:rPr>
                <w:rFonts w:ascii="Cambria Math" w:hAnsi="Cambria Math"/>
              </w:rPr>
              <m:t>×</m:t>
            </m:r>
            <m:nary>
              <m:naryPr>
                <m:chr m:val="∑"/>
                <m:limLoc m:val="undOvr"/>
                <m:ctrlPr>
                  <w:rPr>
                    <w:rFonts w:ascii="Cambria Math" w:hAnsi="Cambria Math"/>
                    <w:i/>
                  </w:rPr>
                </m:ctrlPr>
              </m:naryPr>
              <m:sub>
                <m:r>
                  <m:rPr/>
                  <w:rPr>
                    <w:rFonts w:ascii="Cambria Math" w:hAnsi="Cambria Math"/>
                  </w:rPr>
                  <m:t>i=1</m:t>
                </m:r>
                <m:ctrlPr>
                  <w:rPr>
                    <w:rFonts w:ascii="Cambria Math" w:hAnsi="Cambria Math"/>
                    <w:i/>
                  </w:rPr>
                </m:ctrlPr>
              </m:sub>
              <m:sup>
                <m:r>
                  <m:rPr/>
                  <w:rPr>
                    <w:rFonts w:ascii="Cambria Math" w:hAnsi="Cambria Math"/>
                  </w:rPr>
                  <m:t>n</m:t>
                </m:r>
                <m:ctrlPr>
                  <w:rPr>
                    <w:rFonts w:ascii="Cambria Math" w:hAnsi="Cambria Math"/>
                    <w:i/>
                  </w:rPr>
                </m:ctrlPr>
              </m:sup>
              <m:e>
                <m:sSub>
                  <m:sSubPr>
                    <m:ctrlPr>
                      <w:rPr>
                        <w:rFonts w:ascii="Cambria Math" w:hAnsi="Cambria Math"/>
                        <w:i/>
                      </w:rPr>
                    </m:ctrlPr>
                  </m:sSubPr>
                  <m:e>
                    <m:r>
                      <m:rPr/>
                      <w:rPr>
                        <w:rFonts w:ascii="Cambria Math" w:hAnsi="Cambria Math"/>
                      </w:rPr>
                      <m:t>d</m:t>
                    </m:r>
                    <m:ctrlPr>
                      <w:rPr>
                        <w:rFonts w:ascii="Cambria Math" w:hAnsi="Cambria Math"/>
                        <w:i/>
                      </w:rPr>
                    </m:ctrlPr>
                  </m:e>
                  <m:sub>
                    <m:r>
                      <m:rPr/>
                      <w:rPr>
                        <w:rFonts w:ascii="Cambria Math" w:hAnsi="Cambria Math"/>
                      </w:rPr>
                      <m:t>i</m:t>
                    </m:r>
                    <m:ctrlPr>
                      <w:rPr>
                        <w:rFonts w:ascii="Cambria Math" w:hAnsi="Cambria Math"/>
                        <w:i/>
                      </w:rPr>
                    </m:ctrlPr>
                  </m:sub>
                </m:sSub>
                <m:ctrlPr>
                  <w:rPr>
                    <w:rFonts w:ascii="Cambria Math" w:hAnsi="Cambria Math"/>
                    <w:i/>
                  </w:rPr>
                </m:ctrlPr>
              </m:e>
            </m:nary>
            <m:ctrlPr>
              <w:rPr>
                <w:rFonts w:ascii="Cambria Math" w:hAnsi="Cambria Math"/>
                <w:i/>
              </w:rPr>
            </m:ctrlPr>
          </m:e>
        </m:d>
        <m:d>
          <m:dPr>
            <m:ctrlPr>
              <w:rPr>
                <w:rFonts w:ascii="Cambria Math" w:hAnsi="Cambria Math"/>
                <w:i/>
              </w:rPr>
            </m:ctrlPr>
          </m:dPr>
          <m:e>
            <m:r>
              <m:rPr/>
              <w:rPr>
                <w:rFonts w:ascii="Cambria Math" w:hAnsi="Cambria Math"/>
              </w:rPr>
              <m:t>n=9</m:t>
            </m:r>
            <m:ctrlPr>
              <w:rPr>
                <w:rFonts w:ascii="Cambria Math" w:hAnsi="Cambria Math"/>
                <w:i/>
              </w:rPr>
            </m:ctrlPr>
          </m:e>
        </m:d>
      </m:oMath>
      <w:r>
        <w:rPr>
          <w:rFonts w:hint="eastAsia" w:ascii="微软雅黑" w:hAnsi="微软雅黑" w:eastAsia="微软雅黑"/>
        </w:rPr>
        <w:tab/>
      </w:r>
      <w:r>
        <w:t>(</w:t>
      </w:r>
      <w:r>
        <w:rPr>
          <w:rFonts w:hint="eastAsia"/>
        </w:rPr>
        <w:t>10</w:t>
      </w:r>
      <w:r>
        <w:t>)</w:t>
      </w:r>
    </w:p>
    <w:p w14:paraId="5102D8CE">
      <w:pPr>
        <w:pStyle w:val="61"/>
        <w:ind w:firstLine="420"/>
      </w:pPr>
      <w:r>
        <w:rPr>
          <w:rFonts w:hint="eastAsia"/>
        </w:rPr>
        <w:t>式中：</w:t>
      </w:r>
    </w:p>
    <w:p w14:paraId="75442FB3">
      <w:pPr>
        <w:pStyle w:val="62"/>
        <w:ind w:firstLine="420"/>
        <w:rPr>
          <w:rFonts w:hint="eastAsia" w:hAnsi="宋体"/>
        </w:rPr>
      </w:pPr>
      <m:oMath>
        <m:r>
          <m:rPr/>
          <w:rPr>
            <w:rFonts w:ascii="Cambria Math" w:hAnsi="Cambria Math"/>
          </w:rPr>
          <m:t>TTE</m:t>
        </m:r>
      </m:oMath>
      <w:r>
        <w:rPr>
          <w:rFonts w:hAnsi="宋体"/>
        </w:rPr>
        <w:t xml:space="preserve"> </w:t>
      </w:r>
      <w:r>
        <w:rPr>
          <w:rFonts w:ascii="Times New Roman"/>
        </w:rPr>
        <w:t>——</w:t>
      </w:r>
      <w:r>
        <w:rPr>
          <w:rFonts w:hint="eastAsia" w:hAnsi="宋体"/>
        </w:rPr>
        <w:t>移动跟踪误差；</w:t>
      </w:r>
    </w:p>
    <w:p w14:paraId="53E6D033">
      <w:pPr>
        <w:pStyle w:val="62"/>
        <w:ind w:firstLine="420"/>
        <w:rPr>
          <w:rFonts w:hint="eastAsia" w:hAnsi="宋体"/>
        </w:rPr>
      </w:pPr>
      <m:oMath>
        <m:sSub>
          <m:sSubPr>
            <m:ctrlPr>
              <w:rPr>
                <w:rFonts w:ascii="Cambria Math" w:hAnsi="Cambria Math"/>
                <w:i/>
                <w:kern w:val="2"/>
                <w:szCs w:val="21"/>
              </w:rPr>
            </m:ctrlPr>
          </m:sSubPr>
          <m:e>
            <m:r>
              <m:rPr/>
              <w:rPr>
                <w:rFonts w:ascii="Cambria Math" w:hAnsi="Cambria Math"/>
              </w:rPr>
              <m:t>d</m:t>
            </m:r>
            <m:ctrlPr>
              <w:rPr>
                <w:rFonts w:ascii="Cambria Math" w:hAnsi="Cambria Math"/>
                <w:i/>
                <w:kern w:val="2"/>
                <w:szCs w:val="21"/>
              </w:rPr>
            </m:ctrlPr>
          </m:e>
          <m:sub>
            <m:r>
              <m:rPr/>
              <w:rPr>
                <w:rFonts w:ascii="Cambria Math" w:hAnsi="Cambria Math"/>
              </w:rPr>
              <m:t>step</m:t>
            </m:r>
            <m:ctrlPr>
              <w:rPr>
                <w:rFonts w:ascii="Cambria Math" w:hAnsi="Cambria Math"/>
                <w:i/>
                <w:kern w:val="2"/>
                <w:szCs w:val="21"/>
              </w:rPr>
            </m:ctrlPr>
          </m:sub>
        </m:sSub>
      </m:oMath>
      <w:r>
        <w:rPr>
          <w:rFonts w:hint="eastAsia" w:ascii="Times New Roman"/>
          <w:kern w:val="2"/>
          <w:szCs w:val="21"/>
        </w:rPr>
        <w:t xml:space="preserve"> </w:t>
      </w:r>
      <w:r>
        <w:rPr>
          <w:rFonts w:ascii="Times New Roman"/>
        </w:rPr>
        <w:t>——</w:t>
      </w:r>
      <w:r>
        <w:rPr>
          <w:rFonts w:hint="eastAsia" w:hAnsi="宋体"/>
        </w:rPr>
        <w:t>步长，单位为mm；</w:t>
      </w:r>
    </w:p>
    <w:p w14:paraId="58CE1D33">
      <w:pPr>
        <w:pStyle w:val="62"/>
        <w:ind w:firstLine="420"/>
        <w:rPr>
          <w:rFonts w:hint="eastAsia" w:hAnsi="宋体"/>
        </w:rPr>
      </w:pPr>
      <m:oMath>
        <m:sSub>
          <m:sSubPr>
            <m:ctrlPr>
              <w:rPr>
                <w:rFonts w:ascii="Cambria Math" w:hAnsi="Cambria Math"/>
                <w:i/>
                <w:kern w:val="2"/>
                <w:szCs w:val="21"/>
              </w:rPr>
            </m:ctrlPr>
          </m:sSubPr>
          <m:e>
            <m:r>
              <m:rPr/>
              <w:rPr>
                <w:rFonts w:ascii="Cambria Math" w:hAnsi="Cambria Math"/>
              </w:rPr>
              <m:t>d</m:t>
            </m:r>
            <m:ctrlPr>
              <w:rPr>
                <w:rFonts w:ascii="Cambria Math" w:hAnsi="Cambria Math"/>
                <w:i/>
                <w:kern w:val="2"/>
                <w:szCs w:val="21"/>
              </w:rPr>
            </m:ctrlPr>
          </m:e>
          <m:sub>
            <m:r>
              <m:rPr/>
              <w:rPr>
                <w:rFonts w:ascii="Cambria Math" w:hAnsi="Cambria Math"/>
              </w:rPr>
              <m:t>i</m:t>
            </m:r>
            <m:ctrlPr>
              <w:rPr>
                <w:rFonts w:ascii="Cambria Math" w:hAnsi="Cambria Math"/>
                <w:i/>
                <w:kern w:val="2"/>
                <w:szCs w:val="21"/>
              </w:rPr>
            </m:ctrlPr>
          </m:sub>
        </m:sSub>
      </m:oMath>
      <w:r>
        <w:rPr>
          <w:rFonts w:hint="eastAsia" w:hAnsi="宋体"/>
          <w:kern w:val="2"/>
          <w:szCs w:val="21"/>
        </w:rPr>
        <w:t xml:space="preserve">   </w:t>
      </w:r>
      <w:r>
        <w:rPr>
          <w:rFonts w:ascii="Times New Roman"/>
        </w:rPr>
        <w:t>——</w:t>
      </w:r>
      <w:r>
        <w:rPr>
          <w:rFonts w:hint="eastAsia" w:hAnsi="宋体"/>
        </w:rPr>
        <w:t>各个记录点与其相邻记录点之间的距离，单位为mm；</w:t>
      </w:r>
    </w:p>
    <w:p w14:paraId="76432436">
      <w:pPr>
        <w:pStyle w:val="62"/>
        <w:ind w:firstLine="420"/>
        <w:rPr>
          <w:rFonts w:hint="eastAsia" w:hAnsi="宋体" w:cs="宋体"/>
        </w:rPr>
      </w:pPr>
      <m:oMath>
        <m:r>
          <m:rPr/>
          <w:rPr>
            <w:rFonts w:ascii="Cambria Math" w:hAnsi="Cambria Math"/>
          </w:rPr>
          <m:t>n</m:t>
        </m:r>
      </m:oMath>
      <w:r>
        <w:rPr>
          <w:rFonts w:hAnsi="宋体"/>
        </w:rPr>
        <w:t xml:space="preserve"> </w:t>
      </w:r>
      <w:r>
        <w:rPr>
          <w:rFonts w:hint="eastAsia" w:hAnsi="宋体"/>
        </w:rPr>
        <w:t xml:space="preserve">   </w:t>
      </w:r>
      <w:r>
        <w:rPr>
          <w:rFonts w:ascii="Times New Roman"/>
        </w:rPr>
        <w:t>——</w:t>
      </w:r>
      <w:r>
        <w:rPr>
          <w:rFonts w:hint="eastAsia" w:hAnsi="宋体"/>
        </w:rPr>
        <w:t>总步进次数。</w:t>
      </w:r>
    </w:p>
    <w:p w14:paraId="08D12109">
      <w:pPr>
        <w:pStyle w:val="71"/>
        <w:spacing w:before="120" w:after="120"/>
        <w:rPr>
          <w:szCs w:val="21"/>
        </w:rPr>
      </w:pPr>
      <w:bookmarkStart w:id="113" w:name="_Toc190791374"/>
      <w:bookmarkStart w:id="114" w:name="_Toc30112"/>
      <w:r>
        <w:rPr>
          <w:rFonts w:hint="eastAsia"/>
        </w:rPr>
        <w:t>转动跟踪误差测量</w:t>
      </w:r>
      <w:bookmarkEnd w:id="113"/>
      <w:bookmarkEnd w:id="114"/>
    </w:p>
    <w:p w14:paraId="59ECFBA8">
      <w:pPr>
        <w:pStyle w:val="62"/>
        <w:ind w:firstLine="420"/>
      </w:pPr>
      <w:r>
        <w:rPr>
          <w:rFonts w:hint="eastAsia" w:hAnsi="宋体"/>
        </w:rPr>
        <w:t>被测设备</w:t>
      </w:r>
      <w:r>
        <w:rPr>
          <w:rFonts w:hint="eastAsia"/>
        </w:rPr>
        <w:t>按照逆时针转动方式，测其绕</w:t>
      </w:r>
      <m:oMath>
        <m:r>
          <m:rPr/>
          <w:rPr>
            <w:rFonts w:ascii="Cambria Math" w:hAnsi="Cambria Math"/>
          </w:rPr>
          <m:t>X</m:t>
        </m:r>
      </m:oMath>
      <w:r>
        <w:rPr>
          <w:rFonts w:hint="eastAsia"/>
        </w:rPr>
        <w:t>、</w:t>
      </w:r>
      <m:oMath>
        <m:r>
          <m:rPr/>
          <w:rPr>
            <w:rFonts w:ascii="Cambria Math" w:hAnsi="Cambria Math"/>
          </w:rPr>
          <m:t>Y</m:t>
        </m:r>
      </m:oMath>
      <w:r>
        <w:rPr>
          <w:rFonts w:hint="eastAsia"/>
        </w:rPr>
        <w:t>、</w:t>
      </w:r>
      <m:oMath>
        <m:r>
          <m:rPr/>
          <w:rPr>
            <w:rFonts w:ascii="Cambria Math" w:hAnsi="Cambria Math"/>
          </w:rPr>
          <m:t>Z</m:t>
        </m:r>
      </m:oMath>
      <w:r>
        <w:rPr>
          <w:rFonts w:hint="eastAsia"/>
        </w:rPr>
        <w:t>轴转动的角度跟踪误差（对于部分依靠虚拟现实电影头戴式显示设备自身传感器定位跟踪方案的设备，测量</w:t>
      </w:r>
      <m:oMath>
        <m:r>
          <m:rPr/>
          <w:rPr>
            <w:rFonts w:ascii="Cambria Math" w:hAnsi="Cambria Math"/>
          </w:rPr>
          <m:t>Z</m:t>
        </m:r>
      </m:oMath>
      <w:r>
        <w:rPr>
          <w:rFonts w:hint="eastAsia"/>
        </w:rPr>
        <w:t>轴旋转时可以将设备翻转向上，保证跟踪不因为摄像机的遮挡而被干扰），见图8。</w:t>
      </w:r>
    </w:p>
    <w:p w14:paraId="737F4E5E">
      <w:pPr>
        <w:pStyle w:val="62"/>
        <w:ind w:firstLine="420"/>
      </w:pPr>
    </w:p>
    <w:p w14:paraId="75EE7364">
      <w:pPr>
        <w:pStyle w:val="62"/>
        <w:ind w:firstLine="420"/>
      </w:pPr>
      <w:r>
        <w:drawing>
          <wp:inline distT="0" distB="0" distL="0" distR="0">
            <wp:extent cx="1461770" cy="861060"/>
            <wp:effectExtent l="0" t="0" r="5080" b="0"/>
            <wp:docPr id="160509076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090768" name="图片 1"/>
                    <pic:cNvPicPr>
                      <a:picLocks noChangeAspect="1"/>
                    </pic:cNvPicPr>
                  </pic:nvPicPr>
                  <pic:blipFill>
                    <a:blip r:embed="rId22"/>
                    <a:stretch>
                      <a:fillRect/>
                    </a:stretch>
                  </pic:blipFill>
                  <pic:spPr>
                    <a:xfrm>
                      <a:off x="0" y="0"/>
                      <a:ext cx="1485423" cy="874975"/>
                    </a:xfrm>
                    <a:prstGeom prst="rect">
                      <a:avLst/>
                    </a:prstGeom>
                  </pic:spPr>
                </pic:pic>
              </a:graphicData>
            </a:graphic>
          </wp:inline>
        </w:drawing>
      </w:r>
      <w:r>
        <w:rPr>
          <w:rFonts w:hint="eastAsia"/>
        </w:rPr>
        <w:t xml:space="preserve">  </w:t>
      </w:r>
      <w:r>
        <w:drawing>
          <wp:inline distT="0" distB="0" distL="0" distR="0">
            <wp:extent cx="1645285" cy="738505"/>
            <wp:effectExtent l="0" t="0" r="0" b="4445"/>
            <wp:docPr id="67537718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377186" name="图片 1"/>
                    <pic:cNvPicPr>
                      <a:picLocks noChangeAspect="1"/>
                    </pic:cNvPicPr>
                  </pic:nvPicPr>
                  <pic:blipFill>
                    <a:blip r:embed="rId23"/>
                    <a:stretch>
                      <a:fillRect/>
                    </a:stretch>
                  </pic:blipFill>
                  <pic:spPr>
                    <a:xfrm>
                      <a:off x="0" y="0"/>
                      <a:ext cx="1687625" cy="757840"/>
                    </a:xfrm>
                    <a:prstGeom prst="rect">
                      <a:avLst/>
                    </a:prstGeom>
                  </pic:spPr>
                </pic:pic>
              </a:graphicData>
            </a:graphic>
          </wp:inline>
        </w:drawing>
      </w:r>
      <w:r>
        <w:rPr>
          <w:rFonts w:hint="eastAsia"/>
        </w:rPr>
        <w:t xml:space="preserve">  </w:t>
      </w:r>
      <w:r>
        <w:drawing>
          <wp:inline distT="0" distB="0" distL="0" distR="0">
            <wp:extent cx="1697355" cy="658495"/>
            <wp:effectExtent l="0" t="0" r="0" b="8255"/>
            <wp:docPr id="755570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5706" name="图片 1"/>
                    <pic:cNvPicPr>
                      <a:picLocks noChangeAspect="1"/>
                    </pic:cNvPicPr>
                  </pic:nvPicPr>
                  <pic:blipFill>
                    <a:blip r:embed="rId24"/>
                    <a:stretch>
                      <a:fillRect/>
                    </a:stretch>
                  </pic:blipFill>
                  <pic:spPr>
                    <a:xfrm>
                      <a:off x="0" y="0"/>
                      <a:ext cx="1762599" cy="683654"/>
                    </a:xfrm>
                    <a:prstGeom prst="rect">
                      <a:avLst/>
                    </a:prstGeom>
                  </pic:spPr>
                </pic:pic>
              </a:graphicData>
            </a:graphic>
          </wp:inline>
        </w:drawing>
      </w:r>
      <w:r>
        <w:t xml:space="preserve"> </w:t>
      </w:r>
    </w:p>
    <w:p w14:paraId="57CDBE49">
      <w:pPr>
        <w:spacing w:before="59"/>
        <w:ind w:left="799"/>
        <w:rPr>
          <w:rFonts w:hint="eastAsia" w:ascii="黑体" w:hAnsi="黑体" w:eastAsia="黑体"/>
          <w:sz w:val="18"/>
          <w:szCs w:val="18"/>
        </w:rPr>
      </w:pPr>
      <w:r>
        <w:rPr>
          <w:rFonts w:ascii="宋体" w:hAnsi="宋体"/>
          <w:sz w:val="18"/>
          <w:szCs w:val="18"/>
        </w:rPr>
        <w:t>a)</w:t>
      </w:r>
      <w:r>
        <w:rPr>
          <w:rFonts w:hint="eastAsia" w:ascii="宋体" w:hAnsi="宋体"/>
          <w:sz w:val="18"/>
          <w:szCs w:val="18"/>
        </w:rPr>
        <w:t xml:space="preserve"> </w:t>
      </w:r>
      <w:r>
        <w:rPr>
          <w:rFonts w:hint="eastAsia" w:ascii="黑体" w:hAnsi="黑体" w:eastAsia="黑体"/>
          <w:sz w:val="18"/>
          <w:szCs w:val="18"/>
        </w:rPr>
        <w:t>绕</w:t>
      </w:r>
      <m:oMath>
        <m:r>
          <m:rPr/>
          <w:rPr>
            <w:rFonts w:ascii="Cambria Math" w:hAnsi="Cambria Math"/>
          </w:rPr>
          <m:t>X</m:t>
        </m:r>
      </m:oMath>
      <w:r>
        <w:rPr>
          <w:rFonts w:hint="eastAsia" w:ascii="黑体" w:hAnsi="黑体" w:eastAsia="黑体"/>
          <w:sz w:val="18"/>
          <w:szCs w:val="18"/>
        </w:rPr>
        <w:t xml:space="preserve">轴转动                    </w:t>
      </w:r>
      <w:r>
        <w:rPr>
          <w:rFonts w:ascii="宋体" w:hAnsi="宋体"/>
          <w:sz w:val="18"/>
          <w:szCs w:val="18"/>
        </w:rPr>
        <w:t>b)</w:t>
      </w:r>
      <w:r>
        <w:rPr>
          <w:rFonts w:hint="eastAsia" w:ascii="黑体" w:hAnsi="黑体" w:eastAsia="黑体"/>
          <w:sz w:val="18"/>
          <w:szCs w:val="18"/>
        </w:rPr>
        <w:t xml:space="preserve"> 绕</w:t>
      </w:r>
      <m:oMath>
        <m:r>
          <m:rPr/>
          <w:rPr>
            <w:rFonts w:ascii="Cambria Math" w:hAnsi="Cambria Math"/>
          </w:rPr>
          <m:t>Y</m:t>
        </m:r>
      </m:oMath>
      <w:r>
        <w:rPr>
          <w:rFonts w:hint="eastAsia" w:ascii="黑体" w:hAnsi="黑体" w:eastAsia="黑体"/>
          <w:sz w:val="18"/>
          <w:szCs w:val="18"/>
        </w:rPr>
        <w:t xml:space="preserve">轴转动                  </w:t>
      </w:r>
      <w:r>
        <w:rPr>
          <w:rFonts w:ascii="宋体" w:hAnsi="宋体"/>
          <w:sz w:val="18"/>
          <w:szCs w:val="18"/>
        </w:rPr>
        <w:t>c)</w:t>
      </w:r>
      <w:r>
        <w:rPr>
          <w:rFonts w:hint="eastAsia" w:ascii="黑体" w:hAnsi="黑体" w:eastAsia="黑体"/>
          <w:sz w:val="18"/>
          <w:szCs w:val="18"/>
        </w:rPr>
        <w:t xml:space="preserve"> 绕</w:t>
      </w:r>
      <m:oMath>
        <m:r>
          <m:rPr/>
          <w:rPr>
            <w:rFonts w:ascii="Cambria Math" w:hAnsi="Cambria Math"/>
          </w:rPr>
          <m:t>Z</m:t>
        </m:r>
      </m:oMath>
      <w:r>
        <w:rPr>
          <w:rFonts w:hint="eastAsia" w:ascii="黑体" w:hAnsi="黑体" w:eastAsia="黑体"/>
          <w:sz w:val="18"/>
          <w:szCs w:val="18"/>
        </w:rPr>
        <w:t>轴转动</w:t>
      </w:r>
    </w:p>
    <w:p w14:paraId="0B09D336">
      <w:pPr>
        <w:pStyle w:val="120"/>
        <w:spacing w:before="120" w:after="120"/>
        <w:rPr>
          <w:szCs w:val="21"/>
        </w:rPr>
      </w:pPr>
      <w:bookmarkStart w:id="115" w:name="bookmark59"/>
      <w:bookmarkEnd w:id="115"/>
      <w:r>
        <w:rPr>
          <w:rFonts w:hint="eastAsia"/>
        </w:rPr>
        <w:t>虚拟现实电影头戴式显示设备转动方式</w:t>
      </w:r>
    </w:p>
    <w:p w14:paraId="12F8662F">
      <w:pPr>
        <w:pStyle w:val="62"/>
        <w:ind w:firstLine="420"/>
        <w:rPr>
          <w:rFonts w:hint="eastAsia" w:hAnsi="宋体"/>
        </w:rPr>
      </w:pPr>
      <w:r>
        <w:rPr>
          <w:rFonts w:hint="eastAsia"/>
        </w:rPr>
        <w:t>在进行该测量时，规定</w:t>
      </w:r>
      <w:r>
        <w:rPr>
          <w:rFonts w:hint="eastAsia" w:hAnsi="宋体"/>
        </w:rPr>
        <w:t>被测设备</w:t>
      </w:r>
      <w:r>
        <w:rPr>
          <w:rFonts w:hint="eastAsia"/>
        </w:rPr>
        <w:t>的“姿态数据”的计算方法为：将</w:t>
      </w:r>
      <w:r>
        <w:rPr>
          <w:rFonts w:hint="eastAsia" w:hAnsi="宋体"/>
        </w:rPr>
        <w:t>被测设备</w:t>
      </w:r>
      <w:r>
        <w:rPr>
          <w:rFonts w:hint="eastAsia"/>
        </w:rPr>
        <w:t>静置在待测量点，读取</w:t>
      </w:r>
      <w:r>
        <w:rPr>
          <w:rFonts w:hint="eastAsia" w:hAnsi="宋体"/>
        </w:rPr>
        <w:t>10</w:t>
      </w:r>
      <w:r>
        <w:rPr>
          <w:rFonts w:hint="eastAsia"/>
        </w:rPr>
        <w:t>个跟踪系统测得的跟踪姿态，取其均值作为设备在该测量点的姿态数据。</w:t>
      </w:r>
    </w:p>
    <w:p w14:paraId="5E74C8F4">
      <w:pPr>
        <w:pStyle w:val="62"/>
        <w:ind w:firstLine="420"/>
      </w:pPr>
      <w:r>
        <w:rPr>
          <w:rFonts w:hint="eastAsia"/>
        </w:rPr>
        <w:t>具体测量步骤如下：</w:t>
      </w:r>
    </w:p>
    <w:p w14:paraId="414E151A">
      <w:pPr>
        <w:pStyle w:val="180"/>
        <w:numPr>
          <w:ilvl w:val="0"/>
          <w:numId w:val="44"/>
        </w:numPr>
      </w:pPr>
      <w:r>
        <w:rPr>
          <w:rFonts w:hint="eastAsia"/>
        </w:rPr>
        <w:t>将高精度光学平台放置在由厂家提供的有效测量区域中，使</w:t>
      </w:r>
      <w:r>
        <w:rPr>
          <w:rFonts w:hint="eastAsia" w:hAnsi="宋体"/>
        </w:rPr>
        <w:t>被测设备</w:t>
      </w:r>
      <w:r>
        <w:rPr>
          <w:rFonts w:hint="eastAsia"/>
        </w:rPr>
        <w:t>固定在平台上进行转动；</w:t>
      </w:r>
    </w:p>
    <w:p w14:paraId="6B8C65D4">
      <w:pPr>
        <w:pStyle w:val="180"/>
      </w:pPr>
      <w:r>
        <w:rPr>
          <w:rFonts w:hint="eastAsia"/>
        </w:rPr>
        <w:t xml:space="preserve">设备以10 °为固定转动角进行转动，10 </w:t>
      </w:r>
      <w:r>
        <w:t>min</w:t>
      </w:r>
      <w:r>
        <w:rPr>
          <w:rFonts w:hint="eastAsia"/>
        </w:rPr>
        <w:t xml:space="preserve">内完成9次转动，得到10个记录点的姿态数据， 要求每次转动间隔不超过1 </w:t>
      </w:r>
      <w:r>
        <w:t>min</w:t>
      </w:r>
      <w:r>
        <w:rPr>
          <w:rFonts w:hint="eastAsia"/>
        </w:rPr>
        <w:t>，每次转动速度不低于10 °/</w:t>
      </w:r>
      <w:r>
        <w:t>s</w:t>
      </w:r>
      <w:r>
        <w:rPr>
          <w:rFonts w:hint="eastAsia"/>
        </w:rPr>
        <w:t>；</w:t>
      </w:r>
    </w:p>
    <w:p w14:paraId="042B58A0">
      <w:pPr>
        <w:pStyle w:val="180"/>
        <w:rPr>
          <w:szCs w:val="21"/>
        </w:rPr>
      </w:pPr>
      <w:r>
        <w:rPr>
          <w:rFonts w:hint="eastAsia"/>
        </w:rPr>
        <w:t>计算各个记录点与其相邻记录点之间的夹角</w:t>
      </w:r>
      <m:oMath>
        <m:sSub>
          <m:sSubPr>
            <m:ctrlPr>
              <w:rPr>
                <w:rFonts w:ascii="Cambria Math" w:hAnsi="Cambria Math"/>
                <w:i/>
              </w:rPr>
            </m:ctrlPr>
          </m:sSubPr>
          <m:e>
            <m:r>
              <m:rPr/>
              <w:rPr>
                <w:rFonts w:ascii="Cambria Math" w:hAnsi="Cambria Math"/>
              </w:rPr>
              <m:t>θ</m:t>
            </m:r>
            <m:ctrlPr>
              <w:rPr>
                <w:rFonts w:ascii="Cambria Math" w:hAnsi="Cambria Math"/>
                <w:i/>
              </w:rPr>
            </m:ctrlPr>
          </m:e>
          <m:sub>
            <m:r>
              <m:rPr/>
              <w:rPr>
                <w:rFonts w:ascii="Cambria Math" w:hAnsi="Cambria Math"/>
              </w:rPr>
              <m:t>i</m:t>
            </m:r>
            <m:ctrlPr>
              <w:rPr>
                <w:rFonts w:ascii="Cambria Math" w:hAnsi="Cambria Math"/>
                <w:i/>
              </w:rPr>
            </m:ctrlPr>
          </m:sub>
        </m:sSub>
      </m:oMath>
      <w:r>
        <w:t xml:space="preserve"> </w:t>
      </w:r>
      <w:r>
        <w:rPr>
          <w:rFonts w:hint="eastAsia"/>
        </w:rPr>
        <w:t>（</w:t>
      </w:r>
      <w:r>
        <w:t>i=1,2,…,9</w:t>
      </w:r>
      <w:r>
        <w:rPr>
          <w:rFonts w:hint="eastAsia"/>
        </w:rPr>
        <w:t>）；</w:t>
      </w:r>
    </w:p>
    <w:p w14:paraId="0DF3A71A">
      <w:pPr>
        <w:pStyle w:val="180"/>
        <w:rPr>
          <w:szCs w:val="21"/>
        </w:rPr>
      </w:pPr>
      <w:r>
        <w:rPr>
          <w:rFonts w:hint="eastAsia"/>
        </w:rPr>
        <w:t>按照公式（11）计算设备的转动跟踪误差</w:t>
      </w:r>
      <m:oMath>
        <m:r>
          <m:rPr/>
          <w:rPr>
            <w:rFonts w:ascii="Cambria Math" w:hAnsi="Cambria Math"/>
          </w:rPr>
          <m:t>RTE</m:t>
        </m:r>
      </m:oMath>
      <w:r>
        <w:rPr>
          <w:rFonts w:hint="eastAsia"/>
        </w:rPr>
        <w:t>；</w:t>
      </w:r>
    </w:p>
    <w:p w14:paraId="575E5408">
      <w:pPr>
        <w:pStyle w:val="119"/>
        <w:rPr>
          <w:rFonts w:hint="eastAsia"/>
        </w:rPr>
      </w:pPr>
      <w:r>
        <w:rPr>
          <w:rFonts w:hint="eastAsia"/>
        </w:rPr>
        <w:tab/>
      </w:r>
      <m:oMath>
        <m:r>
          <m:rPr/>
          <w:rPr>
            <w:rFonts w:ascii="Cambria Math" w:hAnsi="Cambria Math"/>
          </w:rPr>
          <m:t>RTE=</m:t>
        </m:r>
        <m:d>
          <m:dPr>
            <m:begChr m:val="|"/>
            <m:endChr m:val="|"/>
            <m:ctrlPr>
              <w:rPr>
                <w:rFonts w:ascii="Cambria Math" w:hAnsi="Cambria Math"/>
                <w:i/>
              </w:rPr>
            </m:ctrlPr>
          </m:dPr>
          <m:e>
            <m:sSub>
              <m:sSubPr>
                <m:ctrlPr>
                  <w:rPr>
                    <w:rFonts w:ascii="Cambria Math" w:hAnsi="Cambria Math"/>
                    <w:i/>
                  </w:rPr>
                </m:ctrlPr>
              </m:sSubPr>
              <m:e>
                <m:r>
                  <m:rPr/>
                  <w:rPr>
                    <w:rFonts w:ascii="Cambria Math" w:hAnsi="Cambria Math"/>
                  </w:rPr>
                  <m:t>θ</m:t>
                </m:r>
                <m:ctrlPr>
                  <w:rPr>
                    <w:rFonts w:ascii="Cambria Math" w:hAnsi="Cambria Math"/>
                    <w:i/>
                  </w:rPr>
                </m:ctrlPr>
              </m:e>
              <m:sub>
                <m:r>
                  <m:rPr/>
                  <w:rPr>
                    <w:rFonts w:ascii="Cambria Math" w:hAnsi="Cambria Math"/>
                  </w:rPr>
                  <m:t>step</m:t>
                </m:r>
                <m:ctrlPr>
                  <w:rPr>
                    <w:rFonts w:ascii="Cambria Math" w:hAnsi="Cambria Math"/>
                    <w:i/>
                  </w:rPr>
                </m:ctrlPr>
              </m:sub>
            </m:sSub>
            <m:r>
              <m:rPr/>
              <w:rPr>
                <w:rFonts w:ascii="Cambria Math" w:hAnsi="Cambria Math"/>
              </w:rPr>
              <m:t>−</m:t>
            </m:r>
            <m:f>
              <m:fPr>
                <m:ctrlPr>
                  <w:rPr>
                    <w:rFonts w:ascii="Cambria Math" w:hAnsi="Cambria Math"/>
                    <w:i/>
                  </w:rPr>
                </m:ctrlPr>
              </m:fPr>
              <m:num>
                <m:r>
                  <m:rPr/>
                  <w:rPr>
                    <w:rFonts w:ascii="Cambria Math" w:hAnsi="Cambria Math"/>
                  </w:rPr>
                  <m:t>1</m:t>
                </m:r>
                <m:ctrlPr>
                  <w:rPr>
                    <w:rFonts w:ascii="Cambria Math" w:hAnsi="Cambria Math"/>
                    <w:i/>
                  </w:rPr>
                </m:ctrlPr>
              </m:num>
              <m:den>
                <m:r>
                  <m:rPr/>
                  <w:rPr>
                    <w:rFonts w:ascii="Cambria Math" w:hAnsi="Cambria Math"/>
                  </w:rPr>
                  <m:t>n</m:t>
                </m:r>
                <m:ctrlPr>
                  <w:rPr>
                    <w:rFonts w:ascii="Cambria Math" w:hAnsi="Cambria Math"/>
                    <w:i/>
                  </w:rPr>
                </m:ctrlPr>
              </m:den>
            </m:f>
            <m:r>
              <m:rPr/>
              <w:rPr>
                <w:rFonts w:ascii="Cambria Math" w:hAnsi="Cambria Math"/>
              </w:rPr>
              <m:t>×</m:t>
            </m:r>
            <m:nary>
              <m:naryPr>
                <m:chr m:val="∑"/>
                <m:limLoc m:val="undOvr"/>
                <m:ctrlPr>
                  <w:rPr>
                    <w:rFonts w:ascii="Cambria Math" w:hAnsi="Cambria Math"/>
                    <w:i/>
                  </w:rPr>
                </m:ctrlPr>
              </m:naryPr>
              <m:sub>
                <m:r>
                  <m:rPr/>
                  <w:rPr>
                    <w:rFonts w:ascii="Cambria Math" w:hAnsi="Cambria Math"/>
                  </w:rPr>
                  <m:t>i=1</m:t>
                </m:r>
                <m:ctrlPr>
                  <w:rPr>
                    <w:rFonts w:ascii="Cambria Math" w:hAnsi="Cambria Math"/>
                    <w:i/>
                  </w:rPr>
                </m:ctrlPr>
              </m:sub>
              <m:sup>
                <m:r>
                  <m:rPr/>
                  <w:rPr>
                    <w:rFonts w:ascii="Cambria Math" w:hAnsi="Cambria Math"/>
                  </w:rPr>
                  <m:t>n</m:t>
                </m:r>
                <m:ctrlPr>
                  <w:rPr>
                    <w:rFonts w:ascii="Cambria Math" w:hAnsi="Cambria Math"/>
                    <w:i/>
                  </w:rPr>
                </m:ctrlPr>
              </m:sup>
              <m:e>
                <m:sSub>
                  <m:sSubPr>
                    <m:ctrlPr>
                      <w:rPr>
                        <w:rFonts w:ascii="Cambria Math" w:hAnsi="Cambria Math"/>
                        <w:i/>
                      </w:rPr>
                    </m:ctrlPr>
                  </m:sSubPr>
                  <m:e>
                    <m:r>
                      <m:rPr/>
                      <w:rPr>
                        <w:rFonts w:ascii="Cambria Math" w:hAnsi="Cambria Math"/>
                      </w:rPr>
                      <m:t>θ</m:t>
                    </m:r>
                    <m:ctrlPr>
                      <w:rPr>
                        <w:rFonts w:ascii="Cambria Math" w:hAnsi="Cambria Math"/>
                        <w:i/>
                      </w:rPr>
                    </m:ctrlPr>
                  </m:e>
                  <m:sub>
                    <m:r>
                      <m:rPr/>
                      <w:rPr>
                        <w:rFonts w:ascii="Cambria Math" w:hAnsi="Cambria Math"/>
                      </w:rPr>
                      <m:t>i</m:t>
                    </m:r>
                    <m:ctrlPr>
                      <w:rPr>
                        <w:rFonts w:ascii="Cambria Math" w:hAnsi="Cambria Math"/>
                        <w:i/>
                      </w:rPr>
                    </m:ctrlPr>
                  </m:sub>
                </m:sSub>
                <m:ctrlPr>
                  <w:rPr>
                    <w:rFonts w:ascii="Cambria Math" w:hAnsi="Cambria Math"/>
                    <w:i/>
                  </w:rPr>
                </m:ctrlPr>
              </m:e>
            </m:nary>
            <m:ctrlPr>
              <w:rPr>
                <w:rFonts w:ascii="Cambria Math" w:hAnsi="Cambria Math"/>
                <w:i/>
              </w:rPr>
            </m:ctrlPr>
          </m:e>
        </m:d>
        <m:d>
          <m:dPr>
            <m:ctrlPr>
              <w:rPr>
                <w:rFonts w:ascii="Cambria Math" w:hAnsi="Cambria Math"/>
                <w:i/>
              </w:rPr>
            </m:ctrlPr>
          </m:dPr>
          <m:e>
            <m:r>
              <m:rPr/>
              <w:rPr>
                <w:rFonts w:ascii="Cambria Math" w:hAnsi="Cambria Math"/>
              </w:rPr>
              <m:t>n=9</m:t>
            </m:r>
            <m:ctrlPr>
              <w:rPr>
                <w:rFonts w:ascii="Cambria Math" w:hAnsi="Cambria Math"/>
                <w:i/>
              </w:rPr>
            </m:ctrlPr>
          </m:e>
        </m:d>
      </m:oMath>
      <w:r>
        <w:rPr>
          <w:rFonts w:hint="eastAsia" w:ascii="微软雅黑" w:hAnsi="微软雅黑" w:eastAsia="微软雅黑"/>
        </w:rPr>
        <w:tab/>
      </w:r>
      <w:r>
        <w:t>(</w:t>
      </w:r>
      <w:r>
        <w:rPr>
          <w:rFonts w:hint="eastAsia"/>
        </w:rPr>
        <w:t>11</w:t>
      </w:r>
      <w:r>
        <w:t>)</w:t>
      </w:r>
    </w:p>
    <w:p w14:paraId="58CA8A9A">
      <w:pPr>
        <w:pStyle w:val="61"/>
        <w:ind w:firstLine="420"/>
      </w:pPr>
      <w:r>
        <w:rPr>
          <w:rFonts w:hint="eastAsia"/>
        </w:rPr>
        <w:t>式中：</w:t>
      </w:r>
    </w:p>
    <w:p w14:paraId="6D340BA9">
      <w:pPr>
        <w:pStyle w:val="62"/>
        <w:ind w:firstLine="420"/>
      </w:pPr>
      <m:oMath>
        <m:r>
          <m:rPr/>
          <w:rPr>
            <w:rFonts w:ascii="Cambria Math" w:hAnsi="Cambria Math"/>
          </w:rPr>
          <m:t>RTE</m:t>
        </m:r>
      </m:oMath>
      <w:r>
        <w:t xml:space="preserve"> ——</w:t>
      </w:r>
      <w:r>
        <w:rPr>
          <w:rFonts w:hint="eastAsia"/>
        </w:rPr>
        <w:t>转动跟踪误差；</w:t>
      </w:r>
    </w:p>
    <w:p w14:paraId="00B04ACF">
      <w:pPr>
        <w:pStyle w:val="62"/>
        <w:ind w:firstLine="420"/>
      </w:pPr>
      <m:oMath>
        <m:sSub>
          <m:sSubPr>
            <m:ctrlPr>
              <w:rPr>
                <w:rFonts w:ascii="Cambria Math" w:hAnsi="Cambria Math"/>
                <w:i/>
                <w:kern w:val="2"/>
                <w:szCs w:val="21"/>
              </w:rPr>
            </m:ctrlPr>
          </m:sSubPr>
          <m:e>
            <m:r>
              <m:rPr/>
              <w:rPr>
                <w:rFonts w:ascii="Cambria Math" w:hAnsi="Cambria Math"/>
              </w:rPr>
              <m:t>θ</m:t>
            </m:r>
            <m:ctrlPr>
              <w:rPr>
                <w:rFonts w:ascii="Cambria Math" w:hAnsi="Cambria Math"/>
                <w:i/>
                <w:kern w:val="2"/>
                <w:szCs w:val="21"/>
              </w:rPr>
            </m:ctrlPr>
          </m:e>
          <m:sub>
            <m:r>
              <m:rPr/>
              <w:rPr>
                <w:rFonts w:ascii="Cambria Math" w:hAnsi="Cambria Math"/>
              </w:rPr>
              <m:t>step</m:t>
            </m:r>
            <m:ctrlPr>
              <w:rPr>
                <w:rFonts w:ascii="Cambria Math" w:hAnsi="Cambria Math"/>
                <w:i/>
                <w:kern w:val="2"/>
                <w:szCs w:val="21"/>
              </w:rPr>
            </m:ctrlPr>
          </m:sub>
        </m:sSub>
      </m:oMath>
      <w:r>
        <w:rPr>
          <w:rFonts w:hint="eastAsia"/>
        </w:rPr>
        <w:t>——固定转动角；</w:t>
      </w:r>
    </w:p>
    <w:p w14:paraId="063296C8">
      <w:pPr>
        <w:pStyle w:val="62"/>
        <w:ind w:firstLine="420"/>
      </w:pPr>
      <m:oMath>
        <m:sSub>
          <m:sSubPr>
            <m:ctrlPr>
              <w:rPr>
                <w:rFonts w:ascii="Cambria Math" w:hAnsi="Cambria Math"/>
                <w:i/>
                <w:kern w:val="2"/>
                <w:szCs w:val="21"/>
              </w:rPr>
            </m:ctrlPr>
          </m:sSubPr>
          <m:e>
            <m:r>
              <m:rPr/>
              <w:rPr>
                <w:rFonts w:ascii="Cambria Math" w:hAnsi="Cambria Math"/>
              </w:rPr>
              <m:t>θ</m:t>
            </m:r>
            <m:ctrlPr>
              <w:rPr>
                <w:rFonts w:ascii="Cambria Math" w:hAnsi="Cambria Math"/>
                <w:i/>
                <w:kern w:val="2"/>
                <w:szCs w:val="21"/>
              </w:rPr>
            </m:ctrlPr>
          </m:e>
          <m:sub>
            <m:r>
              <m:rPr/>
              <w:rPr>
                <w:rFonts w:ascii="Cambria Math" w:hAnsi="Cambria Math"/>
              </w:rPr>
              <m:t>i</m:t>
            </m:r>
            <m:ctrlPr>
              <w:rPr>
                <w:rFonts w:ascii="Cambria Math" w:hAnsi="Cambria Math"/>
                <w:i/>
                <w:kern w:val="2"/>
                <w:szCs w:val="21"/>
              </w:rPr>
            </m:ctrlPr>
          </m:sub>
        </m:sSub>
      </m:oMath>
      <w:r>
        <w:rPr>
          <w:rFonts w:hint="eastAsia"/>
        </w:rPr>
        <w:t xml:space="preserve">  ——各个记录点与其相邻记录点之间的夹角；</w:t>
      </w:r>
    </w:p>
    <w:p w14:paraId="5DCF373E">
      <w:pPr>
        <w:pStyle w:val="62"/>
        <w:ind w:firstLine="420"/>
        <w:rPr>
          <w:sz w:val="18"/>
          <w:szCs w:val="18"/>
        </w:rPr>
      </w:pPr>
      <m:oMath>
        <m:r>
          <m:rPr/>
          <w:rPr>
            <w:rFonts w:ascii="Cambria Math" w:hAnsi="Cambria Math"/>
          </w:rPr>
          <m:t>n</m:t>
        </m:r>
      </m:oMath>
      <w:r>
        <w:t xml:space="preserve">  </w:t>
      </w:r>
      <w:r>
        <w:rPr>
          <w:rFonts w:hint="eastAsia"/>
        </w:rPr>
        <w:t>——总转动次数。</w:t>
      </w:r>
    </w:p>
    <w:p w14:paraId="718740E3">
      <w:pPr>
        <w:pStyle w:val="71"/>
        <w:spacing w:before="120" w:after="120"/>
        <w:rPr>
          <w:szCs w:val="21"/>
        </w:rPr>
      </w:pPr>
      <w:bookmarkStart w:id="116" w:name="_Toc190791375"/>
      <w:bookmarkStart w:id="117" w:name="_Toc17305"/>
      <w:r>
        <w:rPr>
          <w:rFonts w:hint="eastAsia"/>
        </w:rPr>
        <w:t>移动灵敏度测量</w:t>
      </w:r>
      <w:bookmarkEnd w:id="116"/>
      <w:bookmarkEnd w:id="117"/>
    </w:p>
    <w:p w14:paraId="6CD12C9D">
      <w:pPr>
        <w:pStyle w:val="62"/>
        <w:ind w:firstLine="420"/>
        <w:rPr>
          <w:rFonts w:hint="eastAsia" w:hAnsi="宋体"/>
        </w:rPr>
      </w:pPr>
      <w:r>
        <w:rPr>
          <w:rFonts w:hint="eastAsia" w:hAnsi="宋体"/>
        </w:rPr>
        <w:t xml:space="preserve">测量环境无光照要求，高精度光学平台的平移精度为0.1 </w:t>
      </w:r>
      <w:r>
        <w:rPr>
          <w:rFonts w:hAnsi="宋体"/>
        </w:rPr>
        <w:t>mm</w:t>
      </w:r>
      <w:r>
        <w:rPr>
          <w:rFonts w:hint="eastAsia" w:hAnsi="宋体"/>
        </w:rPr>
        <w:t>，高精度光学平台的旋转精度为0.1 °。被测设备的坐标系见图7。</w:t>
      </w:r>
    </w:p>
    <w:p w14:paraId="2FA96F75">
      <w:pPr>
        <w:pStyle w:val="62"/>
        <w:ind w:firstLine="420"/>
        <w:rPr>
          <w:rFonts w:hint="eastAsia" w:hAnsi="宋体"/>
        </w:rPr>
      </w:pPr>
      <w:r>
        <w:rPr>
          <w:rFonts w:hint="eastAsia" w:hAnsi="宋体"/>
        </w:rPr>
        <w:t>在进行该测量时，规定被测设备的“位置数据”的计算方法为：将被测设备静置在待测量点，读取10个跟踪系统测得的跟踪位置，取其均值作为设备在该测量点的位置数据。</w:t>
      </w:r>
    </w:p>
    <w:p w14:paraId="1225AF0D">
      <w:pPr>
        <w:pStyle w:val="62"/>
        <w:ind w:firstLine="420"/>
        <w:rPr>
          <w:rFonts w:hint="eastAsia" w:hAnsi="宋体"/>
        </w:rPr>
      </w:pPr>
      <w:r>
        <w:rPr>
          <w:rFonts w:hint="eastAsia"/>
        </w:rPr>
        <w:t>具体测量步骤如下</w:t>
      </w:r>
      <w:r>
        <w:rPr>
          <w:rFonts w:hint="eastAsia" w:hAnsi="宋体"/>
        </w:rPr>
        <w:t>：</w:t>
      </w:r>
    </w:p>
    <w:p w14:paraId="4AB94D81">
      <w:pPr>
        <w:pStyle w:val="180"/>
        <w:numPr>
          <w:ilvl w:val="0"/>
          <w:numId w:val="45"/>
        </w:numPr>
        <w:rPr>
          <w:rFonts w:hint="eastAsia" w:hAnsi="宋体"/>
        </w:rPr>
      </w:pPr>
      <w:r>
        <w:rPr>
          <w:rFonts w:hint="eastAsia" w:hAnsi="宋体"/>
        </w:rPr>
        <w:t>将高精度光学平台放置在由厂家提供的有效测量区域中，并将被测设备的</w:t>
      </w:r>
      <m:oMath>
        <m:r>
          <m:rPr/>
          <w:rPr>
            <w:rFonts w:ascii="Cambria Math" w:hAnsi="Cambria Math"/>
          </w:rPr>
          <m:t>X</m:t>
        </m:r>
      </m:oMath>
      <w:r>
        <w:rPr>
          <w:rFonts w:hint="eastAsia"/>
        </w:rPr>
        <w:t>/</w:t>
      </w:r>
      <m:oMath>
        <m:r>
          <m:rPr/>
          <w:rPr>
            <w:rFonts w:ascii="Cambria Math" w:hAnsi="Cambria Math"/>
          </w:rPr>
          <m:t>Y</m:t>
        </m:r>
      </m:oMath>
      <w:r>
        <w:rPr>
          <w:rFonts w:hint="eastAsia"/>
        </w:rPr>
        <w:t>/</w:t>
      </w:r>
      <m:oMath>
        <m:r>
          <m:rPr/>
          <w:rPr>
            <w:rFonts w:ascii="Cambria Math" w:hAnsi="Cambria Math"/>
          </w:rPr>
          <m:t>Z</m:t>
        </m:r>
      </m:oMath>
      <w:r>
        <w:rPr>
          <w:rFonts w:hint="eastAsia" w:hAnsi="宋体"/>
        </w:rPr>
        <w:t>轴与高精度光学平台的平移方向重合，记录起始点的位置数据；</w:t>
      </w:r>
    </w:p>
    <w:p w14:paraId="41DF2827">
      <w:pPr>
        <w:pStyle w:val="180"/>
        <w:rPr>
          <w:rFonts w:hint="eastAsia" w:hAnsi="宋体"/>
        </w:rPr>
      </w:pPr>
      <w:r>
        <w:rPr>
          <w:rFonts w:hint="eastAsia" w:hAnsi="宋体"/>
        </w:rPr>
        <w:t>移动距离</w:t>
      </w:r>
      <w:r>
        <w:rPr>
          <w:rFonts w:hAnsi="宋体"/>
          <w:i/>
          <w:iCs/>
        </w:rPr>
        <w:t>L</w:t>
      </w:r>
      <w:r>
        <w:rPr>
          <w:rFonts w:hint="eastAsia" w:hAnsi="宋体"/>
        </w:rPr>
        <w:t>，记录该点的位置数据，若该点的位置数据与起始点位置数据之间的距离</w:t>
      </w:r>
      <w:r>
        <w:rPr>
          <w:rFonts w:hAnsi="宋体"/>
          <w:i/>
          <w:iCs/>
        </w:rPr>
        <w:t>L</w:t>
      </w:r>
      <w:r>
        <w:rPr>
          <w:rFonts w:hint="eastAsia" w:hAnsi="宋体"/>
        </w:rPr>
        <w:t xml:space="preserve">′满足 </w:t>
      </w:r>
      <w:r>
        <w:rPr>
          <w:rFonts w:hAnsi="宋体"/>
        </w:rPr>
        <w:t>0.5</w:t>
      </w:r>
      <w:r>
        <w:rPr>
          <w:rFonts w:hAnsi="宋体"/>
          <w:i/>
          <w:iCs/>
        </w:rPr>
        <w:t>L</w:t>
      </w:r>
      <w:r>
        <w:rPr>
          <w:rFonts w:hint="eastAsia"/>
          <w:sz w:val="18"/>
          <w:szCs w:val="18"/>
        </w:rPr>
        <w:t>＜</w:t>
      </w:r>
      <w:r>
        <w:rPr>
          <w:rFonts w:hAnsi="宋体"/>
          <w:i/>
          <w:iCs/>
        </w:rPr>
        <w:t>L</w:t>
      </w:r>
      <w:r>
        <w:rPr>
          <w:rFonts w:hint="eastAsia" w:hAnsi="宋体"/>
        </w:rPr>
        <w:t>′</w:t>
      </w:r>
      <w:r>
        <w:rPr>
          <w:rFonts w:hint="eastAsia"/>
          <w:sz w:val="18"/>
          <w:szCs w:val="18"/>
        </w:rPr>
        <w:t>＜</w:t>
      </w:r>
      <w:r>
        <w:rPr>
          <w:rFonts w:hAnsi="宋体"/>
        </w:rPr>
        <w:t>1.5</w:t>
      </w:r>
      <w:r>
        <w:rPr>
          <w:rFonts w:hAnsi="宋体"/>
          <w:i/>
          <w:iCs/>
        </w:rPr>
        <w:t>L</w:t>
      </w:r>
      <w:r>
        <w:rPr>
          <w:rFonts w:hint="eastAsia" w:hAnsi="宋体"/>
        </w:rPr>
        <w:t>，则本次移动被检测到，该</w:t>
      </w:r>
      <w:r>
        <w:rPr>
          <w:rFonts w:hAnsi="宋体"/>
          <w:i/>
          <w:iCs/>
        </w:rPr>
        <w:t>L</w:t>
      </w:r>
      <w:r>
        <w:rPr>
          <w:rFonts w:hint="eastAsia" w:hAnsi="宋体"/>
        </w:rPr>
        <w:t>有效；</w:t>
      </w:r>
    </w:p>
    <w:p w14:paraId="2914354A">
      <w:pPr>
        <w:pStyle w:val="180"/>
        <w:rPr>
          <w:rFonts w:hint="eastAsia" w:hAnsi="宋体" w:cs="宋体"/>
        </w:rPr>
      </w:pPr>
      <w:r>
        <w:rPr>
          <w:rFonts w:hint="eastAsia" w:hAnsi="宋体"/>
        </w:rPr>
        <w:t>减小</w:t>
      </w:r>
      <w:r>
        <w:rPr>
          <w:rFonts w:hAnsi="宋体"/>
          <w:i/>
          <w:iCs/>
        </w:rPr>
        <w:t>L</w:t>
      </w:r>
      <w:r>
        <w:rPr>
          <w:rFonts w:hint="eastAsia" w:hAnsi="宋体"/>
        </w:rPr>
        <w:t>，重复步骤</w:t>
      </w:r>
      <w:r>
        <w:rPr>
          <w:rFonts w:hAnsi="宋体"/>
        </w:rPr>
        <w:t>a)</w:t>
      </w:r>
      <w:r>
        <w:rPr>
          <w:rFonts w:hint="eastAsia" w:hAnsi="宋体"/>
        </w:rPr>
        <w:t>、</w:t>
      </w:r>
      <w:r>
        <w:rPr>
          <w:rFonts w:hAnsi="宋体"/>
        </w:rPr>
        <w:t>b)</w:t>
      </w:r>
      <w:r>
        <w:rPr>
          <w:rFonts w:hint="eastAsia" w:hAnsi="宋体"/>
        </w:rPr>
        <w:t>，直至移动不能被检测，则根据表3，按此时的</w:t>
      </w:r>
      <w:r>
        <w:rPr>
          <w:rFonts w:hint="eastAsia" w:hAnsi="宋体"/>
          <w:i/>
          <w:iCs/>
        </w:rPr>
        <w:t>L</w:t>
      </w:r>
      <w:r>
        <w:rPr>
          <w:rFonts w:hint="eastAsia" w:hAnsi="宋体"/>
        </w:rPr>
        <w:t>划分设备在</w:t>
      </w:r>
      <m:oMath>
        <m:r>
          <m:rPr/>
          <w:rPr>
            <w:rFonts w:ascii="Cambria Math" w:hAnsi="Cambria Math"/>
          </w:rPr>
          <m:t>X</m:t>
        </m:r>
      </m:oMath>
      <w:r>
        <w:rPr>
          <w:rFonts w:hint="eastAsia"/>
        </w:rPr>
        <w:t>/</w:t>
      </w:r>
      <m:oMath>
        <m:r>
          <m:rPr/>
          <w:rPr>
            <w:rFonts w:ascii="Cambria Math" w:hAnsi="Cambria Math"/>
          </w:rPr>
          <m:t>Y</m:t>
        </m:r>
      </m:oMath>
      <w:r>
        <w:rPr>
          <w:rFonts w:hint="eastAsia"/>
        </w:rPr>
        <w:t>/</w:t>
      </w:r>
      <m:oMath>
        <m:r>
          <m:rPr/>
          <w:rPr>
            <w:rFonts w:ascii="Cambria Math" w:hAnsi="Cambria Math"/>
          </w:rPr>
          <m:t>Z</m:t>
        </m:r>
      </m:oMath>
      <w:r>
        <w:rPr>
          <w:rFonts w:hint="eastAsia" w:hAnsi="宋体"/>
        </w:rPr>
        <w:t>轴的移动灵敏度等级。</w:t>
      </w:r>
    </w:p>
    <w:p w14:paraId="074D188D">
      <w:pPr>
        <w:pStyle w:val="118"/>
        <w:spacing w:before="120" w:after="120"/>
      </w:pPr>
      <w:bookmarkStart w:id="118" w:name="bookmark60"/>
      <w:bookmarkEnd w:id="118"/>
      <w:r>
        <w:rPr>
          <w:rFonts w:hint="eastAsia"/>
        </w:rPr>
        <w:t>移动灵敏度分级</w:t>
      </w:r>
    </w:p>
    <w:tbl>
      <w:tblPr>
        <w:tblStyle w:val="31"/>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Layout w:type="autofit"/>
        <w:tblCellMar>
          <w:top w:w="0" w:type="dxa"/>
          <w:left w:w="0" w:type="dxa"/>
          <w:bottom w:w="0" w:type="dxa"/>
          <w:right w:w="0" w:type="dxa"/>
        </w:tblCellMar>
      </w:tblPr>
      <w:tblGrid>
        <w:gridCol w:w="2344"/>
        <w:gridCol w:w="2342"/>
        <w:gridCol w:w="2342"/>
        <w:gridCol w:w="2343"/>
      </w:tblGrid>
      <w:tr w14:paraId="0EDD08B7">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trHeight w:val="426" w:hRule="atLeast"/>
          <w:tblHeader/>
          <w:jc w:val="center"/>
        </w:trPr>
        <w:tc>
          <w:tcPr>
            <w:tcW w:w="2344" w:type="dxa"/>
            <w:vAlign w:val="center"/>
          </w:tcPr>
          <w:p w14:paraId="33B38355">
            <w:pPr>
              <w:pStyle w:val="184"/>
              <w:rPr>
                <w:rFonts w:hint="eastAsia" w:hAnsi="宋体"/>
                <w:szCs w:val="21"/>
              </w:rPr>
            </w:pPr>
            <w:r>
              <w:rPr>
                <w:rFonts w:hint="eastAsia"/>
                <w:szCs w:val="18"/>
              </w:rPr>
              <w:t>L取值（</w:t>
            </w:r>
            <w:r>
              <w:rPr>
                <w:rFonts w:hAnsi="宋体"/>
                <w:szCs w:val="21"/>
              </w:rPr>
              <w:t>mm</w:t>
            </w:r>
            <w:r>
              <w:rPr>
                <w:rFonts w:hint="eastAsia"/>
                <w:szCs w:val="18"/>
              </w:rPr>
              <w:t>）</w:t>
            </w:r>
          </w:p>
        </w:tc>
        <w:tc>
          <w:tcPr>
            <w:tcW w:w="2342" w:type="dxa"/>
            <w:vAlign w:val="center"/>
          </w:tcPr>
          <w:p w14:paraId="08C230DE">
            <w:pPr>
              <w:pStyle w:val="184"/>
              <w:rPr>
                <w:szCs w:val="18"/>
              </w:rPr>
            </w:pPr>
            <w:r>
              <w:rPr>
                <w:rFonts w:hint="eastAsia"/>
                <w:szCs w:val="18"/>
              </w:rPr>
              <w:t>0≤L≤2.0</w:t>
            </w:r>
          </w:p>
        </w:tc>
        <w:tc>
          <w:tcPr>
            <w:tcW w:w="2342" w:type="dxa"/>
            <w:vAlign w:val="center"/>
          </w:tcPr>
          <w:p w14:paraId="1CD97816">
            <w:pPr>
              <w:pStyle w:val="184"/>
              <w:rPr>
                <w:szCs w:val="18"/>
              </w:rPr>
            </w:pPr>
            <w:r>
              <w:rPr>
                <w:rFonts w:hint="eastAsia"/>
                <w:szCs w:val="18"/>
              </w:rPr>
              <w:t>2.0＜L≤5.0</w:t>
            </w:r>
          </w:p>
        </w:tc>
        <w:tc>
          <w:tcPr>
            <w:tcW w:w="2343" w:type="dxa"/>
            <w:vAlign w:val="center"/>
          </w:tcPr>
          <w:p w14:paraId="5DE0A9C0">
            <w:pPr>
              <w:pStyle w:val="184"/>
              <w:rPr>
                <w:szCs w:val="18"/>
              </w:rPr>
            </w:pPr>
            <w:r>
              <w:rPr>
                <w:rFonts w:hint="eastAsia"/>
                <w:szCs w:val="18"/>
              </w:rPr>
              <w:t>5.0＜L≤10.0</w:t>
            </w:r>
          </w:p>
        </w:tc>
      </w:tr>
      <w:tr w14:paraId="72F278A6">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trHeight w:val="404" w:hRule="atLeast"/>
          <w:jc w:val="center"/>
        </w:trPr>
        <w:tc>
          <w:tcPr>
            <w:tcW w:w="2344" w:type="dxa"/>
            <w:vAlign w:val="center"/>
          </w:tcPr>
          <w:p w14:paraId="50A3FF6A">
            <w:pPr>
              <w:pStyle w:val="184"/>
              <w:rPr>
                <w:szCs w:val="18"/>
              </w:rPr>
            </w:pPr>
            <w:r>
              <w:rPr>
                <w:rFonts w:hint="eastAsia"/>
                <w:szCs w:val="18"/>
              </w:rPr>
              <w:t>灵敏度等级</w:t>
            </w:r>
          </w:p>
        </w:tc>
        <w:tc>
          <w:tcPr>
            <w:tcW w:w="2342" w:type="dxa"/>
            <w:vAlign w:val="center"/>
          </w:tcPr>
          <w:p w14:paraId="3E8A626B">
            <w:pPr>
              <w:pStyle w:val="184"/>
              <w:rPr>
                <w:szCs w:val="18"/>
              </w:rPr>
            </w:pPr>
            <w:r>
              <w:rPr>
                <w:rFonts w:hint="eastAsia"/>
                <w:szCs w:val="18"/>
              </w:rPr>
              <w:t>达到2.0 mm</w:t>
            </w:r>
          </w:p>
        </w:tc>
        <w:tc>
          <w:tcPr>
            <w:tcW w:w="2342" w:type="dxa"/>
            <w:vAlign w:val="center"/>
          </w:tcPr>
          <w:p w14:paraId="5DEE85B3">
            <w:pPr>
              <w:pStyle w:val="184"/>
              <w:rPr>
                <w:szCs w:val="18"/>
              </w:rPr>
            </w:pPr>
            <w:r>
              <w:rPr>
                <w:rFonts w:hint="eastAsia"/>
                <w:szCs w:val="18"/>
              </w:rPr>
              <w:t>达到5.0 mm</w:t>
            </w:r>
          </w:p>
        </w:tc>
        <w:tc>
          <w:tcPr>
            <w:tcW w:w="2343" w:type="dxa"/>
            <w:vAlign w:val="center"/>
          </w:tcPr>
          <w:p w14:paraId="228C1446">
            <w:pPr>
              <w:pStyle w:val="184"/>
              <w:rPr>
                <w:szCs w:val="18"/>
              </w:rPr>
            </w:pPr>
            <w:r>
              <w:rPr>
                <w:rFonts w:hint="eastAsia"/>
                <w:szCs w:val="18"/>
              </w:rPr>
              <w:t>达到10.0 mm</w:t>
            </w:r>
          </w:p>
        </w:tc>
      </w:tr>
    </w:tbl>
    <w:p w14:paraId="5B0B737C">
      <w:pPr>
        <w:pStyle w:val="71"/>
        <w:spacing w:before="120" w:after="120"/>
      </w:pPr>
      <w:bookmarkStart w:id="119" w:name="_Toc190791376"/>
      <w:bookmarkStart w:id="120" w:name="_Toc32754"/>
      <w:r>
        <w:rPr>
          <w:rFonts w:hint="eastAsia"/>
        </w:rPr>
        <w:t>转动灵敏度测量</w:t>
      </w:r>
      <w:bookmarkEnd w:id="119"/>
      <w:bookmarkEnd w:id="120"/>
    </w:p>
    <w:p w14:paraId="615A4D90">
      <w:pPr>
        <w:pStyle w:val="62"/>
        <w:ind w:firstLine="420"/>
        <w:rPr>
          <w:rFonts w:hint="eastAsia" w:hAnsi="宋体"/>
        </w:rPr>
      </w:pPr>
      <w:r>
        <w:rPr>
          <w:rFonts w:hint="eastAsia" w:hAnsi="宋体"/>
        </w:rPr>
        <w:t>被测设备按照逆时针转动方式，测其绕</w:t>
      </w:r>
      <m:oMath>
        <m:r>
          <m:rPr/>
          <w:rPr>
            <w:rFonts w:ascii="Cambria Math" w:hAnsi="Cambria Math"/>
          </w:rPr>
          <m:t>X</m:t>
        </m:r>
      </m:oMath>
      <w:r>
        <w:rPr>
          <w:rFonts w:hint="eastAsia"/>
        </w:rPr>
        <w:t>、</w:t>
      </w:r>
      <m:oMath>
        <m:r>
          <m:rPr/>
          <w:rPr>
            <w:rFonts w:ascii="Cambria Math" w:hAnsi="Cambria Math"/>
          </w:rPr>
          <m:t>Y</m:t>
        </m:r>
      </m:oMath>
      <w:r>
        <w:rPr>
          <w:rFonts w:hint="eastAsia"/>
        </w:rPr>
        <w:t>、</w:t>
      </w:r>
      <m:oMath>
        <m:r>
          <m:rPr/>
          <w:rPr>
            <w:rFonts w:ascii="Cambria Math" w:hAnsi="Cambria Math"/>
          </w:rPr>
          <m:t>Z</m:t>
        </m:r>
      </m:oMath>
      <w:r>
        <w:rPr>
          <w:rFonts w:hint="eastAsia" w:hAnsi="宋体"/>
        </w:rPr>
        <w:t>轴转动的角度跟踪误差（对于部分依靠设备自身传感器定位跟踪方案的设备，测量</w:t>
      </w:r>
      <m:oMath>
        <m:r>
          <m:rPr/>
          <w:rPr>
            <w:rFonts w:ascii="Cambria Math" w:hAnsi="Cambria Math"/>
          </w:rPr>
          <m:t>Z</m:t>
        </m:r>
      </m:oMath>
      <w:r>
        <w:rPr>
          <w:rFonts w:hint="eastAsia" w:hAnsi="宋体"/>
        </w:rPr>
        <w:t>轴旋转时可以将设备翻转向上，保证跟踪不因为摄像机的遮挡而被干扰），见图8。</w:t>
      </w:r>
    </w:p>
    <w:p w14:paraId="605E6E45">
      <w:pPr>
        <w:pStyle w:val="62"/>
        <w:ind w:firstLine="420"/>
        <w:rPr>
          <w:rFonts w:hint="eastAsia" w:hAnsi="宋体"/>
        </w:rPr>
      </w:pPr>
      <w:r>
        <w:rPr>
          <w:rFonts w:hint="eastAsia" w:hAnsi="宋体"/>
        </w:rPr>
        <w:t>在进行该测量时，规定被测设备的“姿态数据”的计算方法为：将被测设备静置在待测量点，读取10个跟踪系统测得的跟踪姿态，取其均值作为设备在该测量点的姿态数据。</w:t>
      </w:r>
    </w:p>
    <w:p w14:paraId="21B9288E">
      <w:pPr>
        <w:pStyle w:val="62"/>
        <w:ind w:firstLine="420"/>
      </w:pPr>
      <w:r>
        <w:rPr>
          <w:rFonts w:hint="eastAsia"/>
        </w:rPr>
        <w:t>具体测量步骤如下：</w:t>
      </w:r>
    </w:p>
    <w:p w14:paraId="5755A11B">
      <w:pPr>
        <w:pStyle w:val="180"/>
        <w:numPr>
          <w:ilvl w:val="0"/>
          <w:numId w:val="46"/>
        </w:numPr>
        <w:rPr>
          <w:rFonts w:hint="eastAsia" w:hAnsi="宋体"/>
        </w:rPr>
      </w:pPr>
      <w:r>
        <w:rPr>
          <w:rFonts w:hint="eastAsia" w:hAnsi="宋体"/>
        </w:rPr>
        <w:t>将高精度光学平台放置在由厂家提供的有效测量区域中，并将被测</w:t>
      </w:r>
      <w:r>
        <w:rPr>
          <w:rFonts w:hint="eastAsia"/>
        </w:rPr>
        <w:t>设备</w:t>
      </w:r>
      <w:r>
        <w:rPr>
          <w:rFonts w:hint="eastAsia" w:hAnsi="宋体"/>
        </w:rPr>
        <w:t>的</w:t>
      </w:r>
      <m:oMath>
        <m:r>
          <m:rPr/>
          <w:rPr>
            <w:rFonts w:ascii="Cambria Math" w:hAnsi="Cambria Math"/>
          </w:rPr>
          <m:t>X</m:t>
        </m:r>
      </m:oMath>
      <w:r>
        <w:rPr>
          <w:rFonts w:hint="eastAsia"/>
        </w:rPr>
        <w:t>/</w:t>
      </w:r>
      <m:oMath>
        <m:r>
          <m:rPr/>
          <w:rPr>
            <w:rFonts w:ascii="Cambria Math" w:hAnsi="Cambria Math"/>
          </w:rPr>
          <m:t>Y</m:t>
        </m:r>
      </m:oMath>
      <w:r>
        <w:rPr>
          <w:rFonts w:hint="eastAsia"/>
        </w:rPr>
        <w:t>/</w:t>
      </w:r>
      <m:oMath>
        <m:r>
          <m:rPr/>
          <w:rPr>
            <w:rFonts w:ascii="Cambria Math" w:hAnsi="Cambria Math"/>
          </w:rPr>
          <m:t>Z</m:t>
        </m:r>
      </m:oMath>
      <w:r>
        <w:rPr>
          <w:rFonts w:hint="eastAsia" w:hAnsi="宋体"/>
        </w:rPr>
        <w:t>轴与高精度光学平台的转轴重合，记录起始点的姿态数据；</w:t>
      </w:r>
    </w:p>
    <w:p w14:paraId="0B127AA1">
      <w:pPr>
        <w:pStyle w:val="180"/>
        <w:rPr>
          <w:rFonts w:hint="eastAsia" w:hAnsi="宋体"/>
        </w:rPr>
      </w:pPr>
      <w:r>
        <w:rPr>
          <w:rFonts w:hint="eastAsia" w:hAnsi="宋体"/>
        </w:rPr>
        <w:t>转动角度</w:t>
      </w:r>
      <m:oMath>
        <m:r>
          <m:rPr/>
          <w:rPr>
            <w:rFonts w:ascii="Cambria Math" w:hAnsi="Cambria Math"/>
          </w:rPr>
          <m:t>α</m:t>
        </m:r>
      </m:oMath>
      <w:r>
        <w:rPr>
          <w:rFonts w:hint="eastAsia" w:hAnsi="宋体"/>
        </w:rPr>
        <w:t>，记录该点的姿态数据，若该点的姿态数据与起始点姿态数据之间的夹角</w:t>
      </w:r>
      <m:oMath>
        <m:sSup>
          <m:sSupPr>
            <m:ctrlPr>
              <w:rPr>
                <w:rFonts w:ascii="Cambria Math" w:hAnsi="Cambria Math"/>
                <w:i/>
                <w:kern w:val="2"/>
                <w:szCs w:val="21"/>
              </w:rPr>
            </m:ctrlPr>
          </m:sSupPr>
          <m:e>
            <m:r>
              <m:rPr/>
              <w:rPr>
                <w:rFonts w:ascii="Cambria Math" w:hAnsi="Cambria Math"/>
              </w:rPr>
              <m:t>α</m:t>
            </m:r>
            <m:ctrlPr>
              <w:rPr>
                <w:rFonts w:ascii="Cambria Math" w:hAnsi="Cambria Math"/>
                <w:i/>
                <w:kern w:val="2"/>
                <w:szCs w:val="21"/>
              </w:rPr>
            </m:ctrlPr>
          </m:e>
          <m:sup>
            <m:r>
              <m:rPr/>
              <w:rPr>
                <w:rFonts w:ascii="Cambria Math" w:hAnsi="Cambria Math"/>
              </w:rPr>
              <m:t>'</m:t>
            </m:r>
            <m:ctrlPr>
              <w:rPr>
                <w:rFonts w:ascii="Cambria Math" w:hAnsi="Cambria Math"/>
                <w:i/>
                <w:kern w:val="2"/>
                <w:szCs w:val="21"/>
              </w:rPr>
            </m:ctrlPr>
          </m:sup>
        </m:sSup>
      </m:oMath>
      <w:r>
        <w:rPr>
          <w:rFonts w:hint="eastAsia" w:hAnsi="宋体"/>
        </w:rPr>
        <w:t xml:space="preserve">满足 </w:t>
      </w:r>
      <w:r>
        <w:rPr>
          <w:rFonts w:hAnsi="宋体"/>
        </w:rPr>
        <w:t>0.5</w:t>
      </w:r>
      <m:oMath>
        <m:r>
          <m:rPr/>
          <w:rPr>
            <w:rFonts w:ascii="Cambria Math" w:hAnsi="Cambria Math"/>
          </w:rPr>
          <m:t>α</m:t>
        </m:r>
      </m:oMath>
      <w:r>
        <w:rPr>
          <w:rFonts w:hint="eastAsia"/>
          <w:sz w:val="18"/>
          <w:szCs w:val="18"/>
        </w:rPr>
        <w:t>＜</w:t>
      </w:r>
      <m:oMath>
        <m:sSup>
          <m:sSupPr>
            <m:ctrlPr>
              <w:rPr>
                <w:rFonts w:ascii="Cambria Math" w:hAnsi="Cambria Math"/>
                <w:i/>
                <w:kern w:val="2"/>
                <w:szCs w:val="21"/>
              </w:rPr>
            </m:ctrlPr>
          </m:sSupPr>
          <m:e>
            <m:r>
              <m:rPr/>
              <w:rPr>
                <w:rFonts w:ascii="Cambria Math" w:hAnsi="Cambria Math"/>
              </w:rPr>
              <m:t>α</m:t>
            </m:r>
            <m:ctrlPr>
              <w:rPr>
                <w:rFonts w:ascii="Cambria Math" w:hAnsi="Cambria Math"/>
                <w:i/>
                <w:kern w:val="2"/>
                <w:szCs w:val="21"/>
              </w:rPr>
            </m:ctrlPr>
          </m:e>
          <m:sup>
            <m:r>
              <m:rPr/>
              <w:rPr>
                <w:rFonts w:ascii="Cambria Math" w:hAnsi="Cambria Math"/>
              </w:rPr>
              <m:t>'</m:t>
            </m:r>
            <m:ctrlPr>
              <w:rPr>
                <w:rFonts w:ascii="Cambria Math" w:hAnsi="Cambria Math"/>
                <w:i/>
                <w:kern w:val="2"/>
                <w:szCs w:val="21"/>
              </w:rPr>
            </m:ctrlPr>
          </m:sup>
        </m:sSup>
      </m:oMath>
      <w:r>
        <w:rPr>
          <w:rFonts w:hint="eastAsia"/>
          <w:sz w:val="18"/>
          <w:szCs w:val="18"/>
        </w:rPr>
        <w:t>＜</w:t>
      </w:r>
      <w:r>
        <w:rPr>
          <w:rFonts w:hAnsi="宋体"/>
        </w:rPr>
        <w:t>1.5</w:t>
      </w:r>
      <m:oMath>
        <m:r>
          <m:rPr/>
          <w:rPr>
            <w:rFonts w:ascii="Cambria Math" w:hAnsi="Cambria Math"/>
          </w:rPr>
          <m:t>α</m:t>
        </m:r>
      </m:oMath>
      <w:r>
        <w:rPr>
          <w:rFonts w:hAnsi="宋体"/>
        </w:rPr>
        <w:t xml:space="preserve">, </w:t>
      </w:r>
      <w:r>
        <w:rPr>
          <w:rFonts w:hint="eastAsia" w:hAnsi="宋体"/>
        </w:rPr>
        <w:t>则本次转动被检测到，该</w:t>
      </w:r>
      <m:oMath>
        <m:r>
          <m:rPr/>
          <w:rPr>
            <w:rFonts w:ascii="Cambria Math" w:hAnsi="Cambria Math"/>
          </w:rPr>
          <m:t>α</m:t>
        </m:r>
      </m:oMath>
      <w:r>
        <w:rPr>
          <w:rFonts w:hint="eastAsia" w:hAnsi="宋体"/>
        </w:rPr>
        <w:t>有效；</w:t>
      </w:r>
    </w:p>
    <w:p w14:paraId="5EF72297">
      <w:pPr>
        <w:pStyle w:val="180"/>
        <w:rPr>
          <w:rFonts w:hint="eastAsia" w:hAnsi="宋体"/>
        </w:rPr>
      </w:pPr>
      <w:r>
        <w:rPr>
          <w:rFonts w:hint="eastAsia" w:hAnsi="宋体"/>
        </w:rPr>
        <w:t>减小</w:t>
      </w:r>
      <m:oMath>
        <m:r>
          <m:rPr/>
          <w:rPr>
            <w:rFonts w:ascii="Cambria Math" w:hAnsi="Cambria Math"/>
          </w:rPr>
          <m:t>α</m:t>
        </m:r>
      </m:oMath>
      <w:r>
        <w:rPr>
          <w:rFonts w:hint="eastAsia" w:hAnsi="宋体"/>
        </w:rPr>
        <w:t xml:space="preserve">,重复步骤 </w:t>
      </w:r>
      <w:r>
        <w:rPr>
          <w:rFonts w:hAnsi="宋体"/>
        </w:rPr>
        <w:t>a)</w:t>
      </w:r>
      <w:r>
        <w:rPr>
          <w:rFonts w:hint="eastAsia" w:hAnsi="宋体"/>
        </w:rPr>
        <w:t>、</w:t>
      </w:r>
      <w:r>
        <w:rPr>
          <w:rFonts w:hAnsi="宋体"/>
        </w:rPr>
        <w:t>b),</w:t>
      </w:r>
      <w:r>
        <w:rPr>
          <w:rFonts w:hint="eastAsia" w:hAnsi="宋体"/>
        </w:rPr>
        <w:t>直至转动不能被检测，则根据表3,按此时的</w:t>
      </w:r>
      <m:oMath>
        <m:r>
          <m:rPr/>
          <w:rPr>
            <w:rFonts w:ascii="Cambria Math" w:hAnsi="Cambria Math"/>
          </w:rPr>
          <m:t>α</m:t>
        </m:r>
      </m:oMath>
      <w:r>
        <w:rPr>
          <w:rFonts w:hint="eastAsia" w:hAnsi="宋体"/>
        </w:rPr>
        <w:t>划分设备在</w:t>
      </w:r>
      <m:oMath>
        <m:r>
          <m:rPr/>
          <w:rPr>
            <w:rFonts w:ascii="Cambria Math" w:hAnsi="Cambria Math"/>
          </w:rPr>
          <m:t>X</m:t>
        </m:r>
      </m:oMath>
      <w:r>
        <w:rPr>
          <w:rFonts w:hint="eastAsia"/>
        </w:rPr>
        <w:t>/</w:t>
      </w:r>
      <m:oMath>
        <m:r>
          <m:rPr/>
          <w:rPr>
            <w:rFonts w:ascii="Cambria Math" w:hAnsi="Cambria Math"/>
          </w:rPr>
          <m:t>Y</m:t>
        </m:r>
      </m:oMath>
      <w:r>
        <w:rPr>
          <w:rFonts w:hint="eastAsia"/>
        </w:rPr>
        <w:t>/</w:t>
      </w:r>
      <m:oMath>
        <m:r>
          <m:rPr/>
          <w:rPr>
            <w:rFonts w:ascii="Cambria Math" w:hAnsi="Cambria Math"/>
          </w:rPr>
          <m:t>Z</m:t>
        </m:r>
      </m:oMath>
      <w:r>
        <w:rPr>
          <w:rFonts w:hint="eastAsia" w:hAnsi="宋体"/>
        </w:rPr>
        <w:t>轴的移动灵敏度等级。</w:t>
      </w:r>
    </w:p>
    <w:p w14:paraId="49F6EC39">
      <w:pPr>
        <w:pStyle w:val="118"/>
        <w:spacing w:before="120" w:after="120"/>
      </w:pPr>
      <w:r>
        <w:rPr>
          <w:rFonts w:hint="eastAsia"/>
        </w:rPr>
        <w:t>转动灵敏度分级</w:t>
      </w:r>
    </w:p>
    <w:tbl>
      <w:tblPr>
        <w:tblStyle w:val="31"/>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Layout w:type="autofit"/>
        <w:tblCellMar>
          <w:top w:w="0" w:type="dxa"/>
          <w:left w:w="0" w:type="dxa"/>
          <w:bottom w:w="0" w:type="dxa"/>
          <w:right w:w="0" w:type="dxa"/>
        </w:tblCellMar>
      </w:tblPr>
      <w:tblGrid>
        <w:gridCol w:w="2333"/>
        <w:gridCol w:w="2333"/>
        <w:gridCol w:w="2333"/>
        <w:gridCol w:w="2335"/>
      </w:tblGrid>
      <w:tr w14:paraId="2B7BA66B">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trHeight w:val="407" w:hRule="atLeast"/>
          <w:tblHeader/>
          <w:jc w:val="center"/>
        </w:trPr>
        <w:tc>
          <w:tcPr>
            <w:tcW w:w="2333" w:type="dxa"/>
            <w:vAlign w:val="center"/>
          </w:tcPr>
          <w:p w14:paraId="20D119BB">
            <w:pPr>
              <w:pStyle w:val="184"/>
              <w:rPr>
                <w:rFonts w:hint="eastAsia" w:hAnsi="宋体"/>
                <w:szCs w:val="21"/>
              </w:rPr>
            </w:pPr>
            <m:oMath>
              <m:r>
                <m:rPr/>
                <w:rPr>
                  <w:rFonts w:ascii="Cambria Math" w:hAnsi="Cambria Math"/>
                </w:rPr>
                <m:t>α</m:t>
              </m:r>
            </m:oMath>
            <w:r>
              <w:rPr>
                <w:rFonts w:hint="eastAsia" w:hAnsi="宋体"/>
                <w:szCs w:val="21"/>
              </w:rPr>
              <w:t>取值（°）</w:t>
            </w:r>
          </w:p>
        </w:tc>
        <w:tc>
          <w:tcPr>
            <w:tcW w:w="2333" w:type="dxa"/>
            <w:vAlign w:val="center"/>
          </w:tcPr>
          <w:p w14:paraId="10D4D84E">
            <w:pPr>
              <w:spacing w:line="240" w:lineRule="auto"/>
              <w:jc w:val="center"/>
              <w:rPr>
                <w:rFonts w:hint="eastAsia" w:ascii="宋体" w:hAnsi="宋体"/>
                <w:sz w:val="18"/>
              </w:rPr>
            </w:pPr>
            <w:r>
              <w:rPr>
                <w:rFonts w:hint="eastAsia" w:ascii="宋体" w:hAnsi="宋体"/>
                <w:sz w:val="18"/>
              </w:rPr>
              <w:t>0≤</w:t>
            </w:r>
            <m:oMath>
              <m:r>
                <m:rPr/>
                <w:rPr>
                  <w:rFonts w:ascii="Cambria Math" w:hAnsi="Cambria Math"/>
                </w:rPr>
                <m:t>α</m:t>
              </m:r>
            </m:oMath>
            <w:r>
              <w:rPr>
                <w:rFonts w:hint="eastAsia" w:ascii="宋体" w:hAnsi="宋体"/>
                <w:sz w:val="18"/>
              </w:rPr>
              <w:t>≤1.0</w:t>
            </w:r>
          </w:p>
        </w:tc>
        <w:tc>
          <w:tcPr>
            <w:tcW w:w="2333" w:type="dxa"/>
            <w:vAlign w:val="center"/>
          </w:tcPr>
          <w:p w14:paraId="507AD2BF">
            <w:pPr>
              <w:spacing w:line="240" w:lineRule="auto"/>
              <w:jc w:val="center"/>
              <w:rPr>
                <w:rFonts w:hint="eastAsia" w:ascii="宋体" w:hAnsi="宋体"/>
                <w:sz w:val="18"/>
              </w:rPr>
            </w:pPr>
            <w:r>
              <w:rPr>
                <w:rFonts w:hint="eastAsia" w:ascii="宋体" w:hAnsi="宋体"/>
                <w:sz w:val="18"/>
              </w:rPr>
              <w:t>1.0＜</w:t>
            </w:r>
            <m:oMath>
              <m:r>
                <m:rPr/>
                <w:rPr>
                  <w:rFonts w:ascii="Cambria Math" w:hAnsi="Cambria Math"/>
                </w:rPr>
                <m:t>α</m:t>
              </m:r>
            </m:oMath>
            <w:r>
              <w:rPr>
                <w:rFonts w:hint="eastAsia" w:ascii="宋体" w:hAnsi="宋体"/>
                <w:sz w:val="18"/>
              </w:rPr>
              <w:t>≤2.0</w:t>
            </w:r>
          </w:p>
        </w:tc>
        <w:tc>
          <w:tcPr>
            <w:tcW w:w="2335" w:type="dxa"/>
            <w:vAlign w:val="center"/>
          </w:tcPr>
          <w:p w14:paraId="12F3BBE3">
            <w:pPr>
              <w:spacing w:line="240" w:lineRule="auto"/>
              <w:jc w:val="center"/>
              <w:rPr>
                <w:rFonts w:hint="eastAsia" w:ascii="宋体" w:hAnsi="宋体"/>
                <w:sz w:val="18"/>
              </w:rPr>
            </w:pPr>
            <w:r>
              <w:rPr>
                <w:rFonts w:hint="eastAsia" w:ascii="宋体" w:hAnsi="宋体"/>
                <w:sz w:val="18"/>
              </w:rPr>
              <w:t>2.0＜</w:t>
            </w:r>
            <m:oMath>
              <m:r>
                <m:rPr/>
                <w:rPr>
                  <w:rFonts w:ascii="Cambria Math" w:hAnsi="Cambria Math"/>
                </w:rPr>
                <m:t>α</m:t>
              </m:r>
            </m:oMath>
            <w:r>
              <w:rPr>
                <w:rFonts w:hint="eastAsia" w:ascii="宋体" w:hAnsi="宋体"/>
                <w:sz w:val="18"/>
              </w:rPr>
              <w:t>≤5.0</w:t>
            </w:r>
          </w:p>
        </w:tc>
      </w:tr>
      <w:tr w14:paraId="1B70C0C7">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trHeight w:val="413" w:hRule="atLeast"/>
          <w:jc w:val="center"/>
        </w:trPr>
        <w:tc>
          <w:tcPr>
            <w:tcW w:w="2333" w:type="dxa"/>
            <w:vAlign w:val="center"/>
          </w:tcPr>
          <w:p w14:paraId="41AC1E21">
            <w:pPr>
              <w:pStyle w:val="184"/>
              <w:rPr>
                <w:rFonts w:ascii="Cambria Math" w:hAnsi="Cambria Math"/>
                <w:iCs/>
              </w:rPr>
            </w:pPr>
            <w:r>
              <w:rPr>
                <w:rFonts w:hint="eastAsia" w:ascii="Cambria Math" w:hAnsi="Cambria Math"/>
                <w:iCs/>
              </w:rPr>
              <w:t>灵敏度等级</w:t>
            </w:r>
          </w:p>
        </w:tc>
        <w:tc>
          <w:tcPr>
            <w:tcW w:w="2333" w:type="dxa"/>
            <w:vAlign w:val="center"/>
          </w:tcPr>
          <w:p w14:paraId="030CA7DE">
            <w:pPr>
              <w:pStyle w:val="184"/>
              <w:rPr>
                <w:rFonts w:ascii="Cambria Math" w:hAnsi="Cambria Math"/>
                <w:iCs/>
              </w:rPr>
            </w:pPr>
            <w:r>
              <w:rPr>
                <w:rFonts w:hint="eastAsia" w:ascii="Cambria Math" w:hAnsi="Cambria Math"/>
                <w:iCs/>
              </w:rPr>
              <w:t>达到</w:t>
            </w:r>
            <w:r>
              <w:rPr>
                <w:rFonts w:hint="eastAsia" w:hAnsi="宋体"/>
                <w:iCs/>
              </w:rPr>
              <w:t xml:space="preserve">1.0 </w:t>
            </w:r>
            <w:r>
              <w:rPr>
                <w:rFonts w:hint="eastAsia" w:ascii="Cambria Math" w:hAnsi="Cambria Math"/>
                <w:iCs/>
              </w:rPr>
              <w:t>°</w:t>
            </w:r>
          </w:p>
        </w:tc>
        <w:tc>
          <w:tcPr>
            <w:tcW w:w="2333" w:type="dxa"/>
            <w:vAlign w:val="center"/>
          </w:tcPr>
          <w:p w14:paraId="179094E4">
            <w:pPr>
              <w:pStyle w:val="184"/>
              <w:rPr>
                <w:rFonts w:ascii="Cambria Math" w:hAnsi="Cambria Math"/>
                <w:iCs/>
              </w:rPr>
            </w:pPr>
            <w:r>
              <w:rPr>
                <w:rFonts w:hint="eastAsia" w:ascii="Cambria Math" w:hAnsi="Cambria Math"/>
                <w:iCs/>
              </w:rPr>
              <w:t>达到</w:t>
            </w:r>
            <w:r>
              <w:rPr>
                <w:rFonts w:hint="eastAsia" w:hAnsi="宋体"/>
                <w:iCs/>
              </w:rPr>
              <w:t xml:space="preserve">2.0 </w:t>
            </w:r>
            <w:r>
              <w:rPr>
                <w:rFonts w:hint="eastAsia" w:ascii="Cambria Math" w:hAnsi="Cambria Math"/>
                <w:iCs/>
              </w:rPr>
              <w:t>°</w:t>
            </w:r>
          </w:p>
        </w:tc>
        <w:tc>
          <w:tcPr>
            <w:tcW w:w="2335" w:type="dxa"/>
            <w:vAlign w:val="center"/>
          </w:tcPr>
          <w:p w14:paraId="20ACACE0">
            <w:pPr>
              <w:pStyle w:val="184"/>
              <w:rPr>
                <w:rFonts w:ascii="Cambria Math" w:hAnsi="Cambria Math"/>
                <w:iCs/>
              </w:rPr>
            </w:pPr>
            <w:r>
              <w:rPr>
                <w:rFonts w:hint="eastAsia" w:ascii="Cambria Math" w:hAnsi="Cambria Math"/>
                <w:iCs/>
              </w:rPr>
              <w:t>达到</w:t>
            </w:r>
            <w:r>
              <w:rPr>
                <w:rFonts w:hint="eastAsia" w:hAnsi="宋体"/>
                <w:iCs/>
              </w:rPr>
              <w:t xml:space="preserve">5.0 </w:t>
            </w:r>
            <w:r>
              <w:rPr>
                <w:rFonts w:hint="eastAsia" w:ascii="Cambria Math" w:hAnsi="Cambria Math"/>
                <w:iCs/>
              </w:rPr>
              <w:t>°</w:t>
            </w:r>
          </w:p>
        </w:tc>
      </w:tr>
    </w:tbl>
    <w:p w14:paraId="4FA05CFF">
      <w:pPr>
        <w:pStyle w:val="71"/>
        <w:spacing w:before="120" w:after="120"/>
        <w:rPr>
          <w:rFonts w:hint="eastAsia" w:hAnsi="黑体"/>
        </w:rPr>
      </w:pPr>
      <w:bookmarkStart w:id="121" w:name="_Toc190791381"/>
      <w:bookmarkStart w:id="122" w:name="_Toc24007"/>
      <w:bookmarkStart w:id="123" w:name="_Toc190791377"/>
      <w:r>
        <w:rPr>
          <w:rFonts w:hint="eastAsia" w:hAnsi="黑体"/>
        </w:rPr>
        <w:t>头戴部分质量测量</w:t>
      </w:r>
      <w:bookmarkEnd w:id="121"/>
      <w:bookmarkEnd w:id="122"/>
    </w:p>
    <w:p w14:paraId="561C8025">
      <w:pPr>
        <w:pStyle w:val="62"/>
        <w:ind w:firstLine="420"/>
      </w:pPr>
      <w:r>
        <w:rPr>
          <w:rFonts w:hint="eastAsia" w:hAnsi="黑体"/>
        </w:rPr>
        <w:t>头戴部分质量测量步骤</w:t>
      </w:r>
      <w:r>
        <w:rPr>
          <w:rFonts w:hint="eastAsia"/>
        </w:rPr>
        <w:t>如下：</w:t>
      </w:r>
    </w:p>
    <w:p w14:paraId="1E6CFFA8">
      <w:pPr>
        <w:pStyle w:val="180"/>
        <w:numPr>
          <w:ilvl w:val="0"/>
          <w:numId w:val="47"/>
        </w:numPr>
      </w:pPr>
      <w:r>
        <w:rPr>
          <w:rFonts w:hint="eastAsia"/>
        </w:rPr>
        <w:t>检查确认电子秤零位及灵敏度；</w:t>
      </w:r>
    </w:p>
    <w:p w14:paraId="56989F4E">
      <w:pPr>
        <w:pStyle w:val="180"/>
      </w:pPr>
      <w:r>
        <w:rPr>
          <w:rFonts w:hint="eastAsia"/>
        </w:rPr>
        <w:t>将被测设备除去外接连接线，保留主机与头部固定绑带；</w:t>
      </w:r>
    </w:p>
    <w:p w14:paraId="382453EB">
      <w:pPr>
        <w:pStyle w:val="180"/>
        <w:rPr>
          <w:rFonts w:hint="eastAsia" w:hAnsi="宋体"/>
        </w:rPr>
      </w:pPr>
      <w:r>
        <w:rPr>
          <w:rFonts w:hint="eastAsia"/>
        </w:rPr>
        <w:t>将设备置于电子秤上，放置稳定后读取电子秤读数。</w:t>
      </w:r>
    </w:p>
    <w:p w14:paraId="64B43D61">
      <w:pPr>
        <w:pStyle w:val="71"/>
        <w:spacing w:before="120" w:after="120"/>
        <w:rPr>
          <w:rFonts w:hint="eastAsia" w:hAnsi="黑体"/>
        </w:rPr>
      </w:pPr>
      <w:bookmarkStart w:id="124" w:name="_Toc15004"/>
      <w:r>
        <w:rPr>
          <w:rFonts w:hint="eastAsia" w:hAnsi="黑体"/>
        </w:rPr>
        <w:t>数据传输接口测量</w:t>
      </w:r>
      <w:bookmarkEnd w:id="123"/>
      <w:bookmarkEnd w:id="124"/>
    </w:p>
    <w:p w14:paraId="71A3985D">
      <w:pPr>
        <w:pStyle w:val="62"/>
        <w:ind w:firstLine="420"/>
      </w:pPr>
      <w:r>
        <w:rPr>
          <w:rFonts w:hint="eastAsia"/>
        </w:rPr>
        <w:t>数据传输接口测量步骤如下：</w:t>
      </w:r>
    </w:p>
    <w:p w14:paraId="2C1917BB">
      <w:pPr>
        <w:pStyle w:val="180"/>
        <w:numPr>
          <w:ilvl w:val="0"/>
          <w:numId w:val="48"/>
        </w:numPr>
      </w:pPr>
      <w:r>
        <w:rPr>
          <w:rFonts w:hint="eastAsia"/>
        </w:rPr>
        <w:t>检查外部数据输入接口类型并记录；</w:t>
      </w:r>
    </w:p>
    <w:p w14:paraId="59B022CB">
      <w:pPr>
        <w:pStyle w:val="180"/>
      </w:pPr>
      <w:r>
        <w:rPr>
          <w:rFonts w:hint="eastAsia"/>
        </w:rPr>
        <w:t>使用符合</w:t>
      </w:r>
      <w:r>
        <w:rPr>
          <w:rFonts w:hint="eastAsia" w:hAnsi="宋体"/>
        </w:rPr>
        <w:t>被测设备</w:t>
      </w:r>
      <w:r>
        <w:rPr>
          <w:rFonts w:hint="eastAsia"/>
        </w:rPr>
        <w:t>接口类型存储介质随机拷贝不同类型的文件；</w:t>
      </w:r>
    </w:p>
    <w:p w14:paraId="5533B8FC">
      <w:pPr>
        <w:pStyle w:val="180"/>
      </w:pPr>
      <w:r>
        <w:rPr>
          <w:rFonts w:hint="eastAsia"/>
        </w:rPr>
        <w:t>将存储介质插入</w:t>
      </w:r>
      <w:r>
        <w:rPr>
          <w:rFonts w:hint="eastAsia" w:hAnsi="宋体"/>
        </w:rPr>
        <w:t>被测设备的</w:t>
      </w:r>
      <w:r>
        <w:rPr>
          <w:rFonts w:hint="eastAsia" w:hAnsi="黑体"/>
        </w:rPr>
        <w:t>数据传输接口，将文件拷贝至</w:t>
      </w:r>
      <w:r>
        <w:rPr>
          <w:rFonts w:hint="eastAsia" w:hAnsi="宋体"/>
        </w:rPr>
        <w:t>被测设备</w:t>
      </w:r>
      <w:r>
        <w:rPr>
          <w:rFonts w:hint="eastAsia"/>
        </w:rPr>
        <w:t>；</w:t>
      </w:r>
    </w:p>
    <w:p w14:paraId="3C4C8353">
      <w:pPr>
        <w:pStyle w:val="180"/>
      </w:pPr>
      <w:r>
        <w:rPr>
          <w:rFonts w:hint="eastAsia"/>
        </w:rPr>
        <w:t>文件拷贝成功视为具备该接口。</w:t>
      </w:r>
    </w:p>
    <w:p w14:paraId="5E56D095">
      <w:pPr>
        <w:pStyle w:val="71"/>
        <w:spacing w:before="120" w:after="120"/>
        <w:rPr>
          <w:rFonts w:hint="eastAsia" w:hAnsi="黑体"/>
        </w:rPr>
      </w:pPr>
      <w:bookmarkStart w:id="125" w:name="_Toc190791378"/>
      <w:bookmarkStart w:id="126" w:name="_Toc29778"/>
      <w:r>
        <w:rPr>
          <w:rFonts w:hint="eastAsia" w:hAnsi="黑体"/>
        </w:rPr>
        <w:t>网络接口测量</w:t>
      </w:r>
      <w:bookmarkEnd w:id="125"/>
      <w:bookmarkEnd w:id="126"/>
    </w:p>
    <w:p w14:paraId="438CBE45">
      <w:pPr>
        <w:pStyle w:val="62"/>
        <w:ind w:firstLine="420"/>
        <w:rPr>
          <w:rFonts w:hint="eastAsia" w:hAnsi="黑体"/>
        </w:rPr>
      </w:pPr>
      <w:r>
        <w:rPr>
          <w:rFonts w:hint="eastAsia" w:hAnsi="黑体"/>
        </w:rPr>
        <w:t>网络接口测量步骤如下：</w:t>
      </w:r>
    </w:p>
    <w:p w14:paraId="096C2440">
      <w:pPr>
        <w:pStyle w:val="180"/>
        <w:numPr>
          <w:ilvl w:val="0"/>
          <w:numId w:val="49"/>
        </w:numPr>
        <w:rPr>
          <w:szCs w:val="21"/>
        </w:rPr>
      </w:pPr>
      <w:r>
        <w:rPr>
          <w:rFonts w:hint="eastAsia"/>
        </w:rPr>
        <w:t>将被测设备通过支持IEEE</w:t>
      </w:r>
      <w:r>
        <w:t xml:space="preserve"> </w:t>
      </w:r>
      <w:r>
        <w:rPr>
          <w:rFonts w:hint="eastAsia"/>
        </w:rPr>
        <w:t>8</w:t>
      </w:r>
      <w:r>
        <w:t>02.11</w:t>
      </w:r>
      <w:r>
        <w:rPr>
          <w:rFonts w:hint="eastAsia"/>
        </w:rPr>
        <w:t>规范的交换机与计算机连接；</w:t>
      </w:r>
    </w:p>
    <w:p w14:paraId="14B77428">
      <w:pPr>
        <w:pStyle w:val="180"/>
      </w:pPr>
      <w:r>
        <w:rPr>
          <w:rFonts w:hint="eastAsia"/>
        </w:rPr>
        <w:t>使用相应的通信协议与被测设备通信；</w:t>
      </w:r>
    </w:p>
    <w:p w14:paraId="5CEFF241">
      <w:pPr>
        <w:pStyle w:val="180"/>
      </w:pPr>
      <w:r>
        <w:rPr>
          <w:rFonts w:hint="eastAsia"/>
        </w:rPr>
        <w:t>检查并记录通信情况和接口速率。</w:t>
      </w:r>
    </w:p>
    <w:p w14:paraId="7C2D8BA4">
      <w:pPr>
        <w:pStyle w:val="71"/>
        <w:spacing w:before="120" w:after="120"/>
        <w:rPr>
          <w:rFonts w:hint="eastAsia" w:hAnsi="黑体"/>
        </w:rPr>
      </w:pPr>
      <w:bookmarkStart w:id="127" w:name="_Toc190791379"/>
      <w:bookmarkStart w:id="128" w:name="_Toc31995"/>
      <w:r>
        <w:rPr>
          <w:rFonts w:hint="eastAsia" w:hAnsi="黑体"/>
        </w:rPr>
        <w:t>电源接口测量</w:t>
      </w:r>
      <w:bookmarkEnd w:id="127"/>
      <w:bookmarkEnd w:id="128"/>
    </w:p>
    <w:p w14:paraId="7A52FF39">
      <w:pPr>
        <w:pStyle w:val="62"/>
        <w:ind w:firstLine="420"/>
        <w:rPr>
          <w:rFonts w:hint="eastAsia" w:hAnsi="黑体"/>
        </w:rPr>
      </w:pPr>
      <w:r>
        <w:rPr>
          <w:rFonts w:hint="eastAsia" w:hAnsi="黑体"/>
        </w:rPr>
        <w:t>电源接口测量步骤如下：</w:t>
      </w:r>
    </w:p>
    <w:p w14:paraId="5D16163B">
      <w:pPr>
        <w:pStyle w:val="180"/>
        <w:numPr>
          <w:ilvl w:val="0"/>
          <w:numId w:val="50"/>
        </w:numPr>
        <w:rPr>
          <w:szCs w:val="21"/>
        </w:rPr>
      </w:pPr>
      <w:r>
        <w:rPr>
          <w:rFonts w:hint="eastAsia"/>
        </w:rPr>
        <w:t>将被测设备电源接口与配套电影适配器连接；</w:t>
      </w:r>
    </w:p>
    <w:p w14:paraId="335FBE42">
      <w:pPr>
        <w:pStyle w:val="180"/>
        <w:numPr>
          <w:ilvl w:val="0"/>
          <w:numId w:val="50"/>
        </w:numPr>
      </w:pPr>
      <w:r>
        <w:rPr>
          <w:rFonts w:hint="eastAsia"/>
        </w:rPr>
        <w:t>开机并记录测虚拟现实头戴式显示设备工作状态；</w:t>
      </w:r>
    </w:p>
    <w:p w14:paraId="7B12C83C">
      <w:pPr>
        <w:pStyle w:val="180"/>
        <w:numPr>
          <w:ilvl w:val="0"/>
          <w:numId w:val="50"/>
        </w:numPr>
      </w:pPr>
      <w:r>
        <w:rPr>
          <w:rFonts w:hint="eastAsia"/>
        </w:rPr>
        <w:t>如果被测设备具备电池，检查并记录充电情况。</w:t>
      </w:r>
    </w:p>
    <w:p w14:paraId="1A9892F8">
      <w:pPr>
        <w:pStyle w:val="71"/>
        <w:spacing w:before="120" w:after="120"/>
        <w:rPr>
          <w:rFonts w:hint="eastAsia" w:hAnsi="黑体"/>
        </w:rPr>
      </w:pPr>
      <w:bookmarkStart w:id="129" w:name="_Toc190791380"/>
      <w:bookmarkStart w:id="130" w:name="_Toc3663"/>
      <w:r>
        <w:rPr>
          <w:rFonts w:hint="eastAsia" w:hAnsi="黑体"/>
        </w:rPr>
        <w:t>外部视频输入接口测量</w:t>
      </w:r>
      <w:bookmarkEnd w:id="129"/>
      <w:bookmarkEnd w:id="130"/>
    </w:p>
    <w:p w14:paraId="6A4B0098">
      <w:pPr>
        <w:pStyle w:val="62"/>
        <w:ind w:firstLine="420"/>
        <w:rPr>
          <w:szCs w:val="21"/>
        </w:rPr>
      </w:pPr>
      <w:r>
        <w:rPr>
          <w:rFonts w:hint="eastAsia" w:hAnsi="宋体"/>
        </w:rPr>
        <w:t>外部视频输入接口的测量步骤如下：</w:t>
      </w:r>
    </w:p>
    <w:p w14:paraId="5A62B284">
      <w:pPr>
        <w:pStyle w:val="180"/>
        <w:numPr>
          <w:ilvl w:val="0"/>
          <w:numId w:val="51"/>
        </w:numPr>
      </w:pPr>
      <w:r>
        <w:rPr>
          <w:rFonts w:hint="eastAsia"/>
        </w:rPr>
        <w:t>将视频信号发生器和被测设备对应的接口连接；</w:t>
      </w:r>
    </w:p>
    <w:p w14:paraId="17674FFE">
      <w:pPr>
        <w:pStyle w:val="180"/>
        <w:numPr>
          <w:ilvl w:val="0"/>
          <w:numId w:val="51"/>
        </w:numPr>
      </w:pPr>
      <w:r>
        <w:rPr>
          <w:rFonts w:hint="eastAsia"/>
        </w:rPr>
        <w:t>使用视频信号发生器发生不同格式的测量信号；</w:t>
      </w:r>
    </w:p>
    <w:p w14:paraId="7174752C">
      <w:pPr>
        <w:pStyle w:val="180"/>
        <w:numPr>
          <w:ilvl w:val="0"/>
          <w:numId w:val="51"/>
        </w:numPr>
      </w:pPr>
      <w:r>
        <w:rPr>
          <w:rFonts w:hint="eastAsia"/>
        </w:rPr>
        <w:t>检查并记录被测设备的信号支持情况。</w:t>
      </w:r>
    </w:p>
    <w:p w14:paraId="1BC01824">
      <w:pPr>
        <w:pStyle w:val="71"/>
        <w:spacing w:before="120" w:after="120"/>
      </w:pPr>
      <w:bookmarkStart w:id="131" w:name="_Toc12890"/>
      <w:r>
        <w:rPr>
          <w:rFonts w:hint="eastAsia"/>
        </w:rPr>
        <w:t>外部音频输出接口测量</w:t>
      </w:r>
      <w:bookmarkEnd w:id="131"/>
    </w:p>
    <w:p w14:paraId="336AD9FF">
      <w:pPr>
        <w:pStyle w:val="62"/>
        <w:ind w:firstLine="420"/>
        <w:rPr>
          <w:szCs w:val="21"/>
        </w:rPr>
      </w:pPr>
      <w:r>
        <w:rPr>
          <w:rFonts w:hint="eastAsia" w:hAnsi="宋体"/>
        </w:rPr>
        <w:t>外部音频输出接口的测量步骤如下：</w:t>
      </w:r>
    </w:p>
    <w:p w14:paraId="2539D8F7">
      <w:pPr>
        <w:pStyle w:val="180"/>
        <w:numPr>
          <w:ilvl w:val="0"/>
          <w:numId w:val="52"/>
        </w:numPr>
      </w:pPr>
      <w:r>
        <w:rPr>
          <w:rFonts w:hint="eastAsia"/>
        </w:rPr>
        <w:t>将虚拟现实电影节目导入被测设备的播放系统；</w:t>
      </w:r>
    </w:p>
    <w:p w14:paraId="37454097">
      <w:pPr>
        <w:pStyle w:val="180"/>
        <w:numPr>
          <w:ilvl w:val="0"/>
          <w:numId w:val="51"/>
        </w:numPr>
      </w:pPr>
      <w:r>
        <w:rPr>
          <w:rFonts w:hint="eastAsia"/>
        </w:rPr>
        <w:t>将具备规定接口的耳机和被测设备对应的接口连接；</w:t>
      </w:r>
    </w:p>
    <w:p w14:paraId="76CBB7EB">
      <w:pPr>
        <w:pStyle w:val="180"/>
        <w:numPr>
          <w:ilvl w:val="0"/>
          <w:numId w:val="51"/>
        </w:numPr>
      </w:pPr>
      <w:r>
        <w:rPr>
          <w:rFonts w:hint="eastAsia"/>
        </w:rPr>
        <w:t>正常播放虚拟现实电影节目；</w:t>
      </w:r>
    </w:p>
    <w:p w14:paraId="005BB520">
      <w:pPr>
        <w:pStyle w:val="180"/>
        <w:numPr>
          <w:ilvl w:val="0"/>
          <w:numId w:val="51"/>
        </w:numPr>
      </w:pPr>
      <w:r>
        <w:rPr>
          <w:rFonts w:hint="eastAsia"/>
        </w:rPr>
        <w:t>检查并记录耳机能否正常播放节目的声音。</w:t>
      </w:r>
    </w:p>
    <w:p w14:paraId="59403EC0">
      <w:pPr>
        <w:pStyle w:val="71"/>
        <w:spacing w:before="120" w:after="120"/>
      </w:pPr>
      <w:bookmarkStart w:id="132" w:name="_Toc28756"/>
      <w:r>
        <w:rPr>
          <w:rFonts w:hint="eastAsia"/>
        </w:rPr>
        <w:t>数字水印功能测量</w:t>
      </w:r>
      <w:bookmarkEnd w:id="132"/>
    </w:p>
    <w:p w14:paraId="10B43973">
      <w:pPr>
        <w:pStyle w:val="62"/>
        <w:ind w:firstLine="420"/>
      </w:pPr>
      <w:r>
        <w:rPr>
          <w:rFonts w:hint="eastAsia"/>
        </w:rPr>
        <w:t>数字水印功能的测量步骤如下：</w:t>
      </w:r>
    </w:p>
    <w:p w14:paraId="6D0CAFA4">
      <w:pPr>
        <w:pStyle w:val="180"/>
        <w:numPr>
          <w:ilvl w:val="0"/>
          <w:numId w:val="53"/>
        </w:numPr>
      </w:pPr>
      <w:bookmarkStart w:id="133" w:name="OLE_LINK3"/>
      <w:r>
        <w:rPr>
          <w:rFonts w:hint="eastAsia"/>
        </w:rPr>
        <w:t>将虚拟现实电影节目导入被测设备的播放系统</w:t>
      </w:r>
      <w:bookmarkEnd w:id="133"/>
      <w:r>
        <w:rPr>
          <w:rFonts w:hint="eastAsia"/>
        </w:rPr>
        <w:t>；</w:t>
      </w:r>
    </w:p>
    <w:p w14:paraId="1ABB0FA1">
      <w:pPr>
        <w:pStyle w:val="180"/>
        <w:numPr>
          <w:ilvl w:val="0"/>
          <w:numId w:val="53"/>
        </w:numPr>
      </w:pPr>
      <w:r>
        <w:rPr>
          <w:rFonts w:hint="eastAsia"/>
        </w:rPr>
        <w:t>正常播放虚拟现实电影节目；</w:t>
      </w:r>
    </w:p>
    <w:p w14:paraId="15536071">
      <w:pPr>
        <w:pStyle w:val="180"/>
        <w:numPr>
          <w:ilvl w:val="0"/>
          <w:numId w:val="51"/>
        </w:numPr>
      </w:pPr>
      <w:r>
        <w:rPr>
          <w:rFonts w:hint="eastAsia"/>
        </w:rPr>
        <w:t>使用成像式亮度计截取画面；</w:t>
      </w:r>
    </w:p>
    <w:p w14:paraId="3AA7976F">
      <w:pPr>
        <w:pStyle w:val="180"/>
        <w:numPr>
          <w:ilvl w:val="0"/>
          <w:numId w:val="51"/>
        </w:numPr>
      </w:pPr>
      <w:r>
        <w:rPr>
          <w:rFonts w:hint="eastAsia"/>
        </w:rPr>
        <w:t>检查能否从截取画面中检出数字水印。</w:t>
      </w:r>
    </w:p>
    <w:p w14:paraId="4A6942A2">
      <w:pPr>
        <w:pStyle w:val="71"/>
        <w:spacing w:before="120" w:after="120"/>
      </w:pPr>
      <w:bookmarkStart w:id="134" w:name="_Toc24963"/>
      <w:r>
        <w:rPr>
          <w:rFonts w:hint="eastAsia"/>
        </w:rPr>
        <w:t>图像数据安全</w:t>
      </w:r>
      <w:bookmarkEnd w:id="134"/>
    </w:p>
    <w:p w14:paraId="432E1B5D">
      <w:pPr>
        <w:pStyle w:val="62"/>
        <w:ind w:firstLine="420"/>
      </w:pPr>
      <w:r>
        <w:rPr>
          <w:rFonts w:hint="eastAsia"/>
        </w:rPr>
        <w:t>图像数据安全的测量步骤如下：</w:t>
      </w:r>
    </w:p>
    <w:p w14:paraId="5ADCA8CF">
      <w:pPr>
        <w:pStyle w:val="180"/>
        <w:numPr>
          <w:ilvl w:val="0"/>
          <w:numId w:val="54"/>
        </w:numPr>
      </w:pPr>
      <w:r>
        <w:rPr>
          <w:rFonts w:hint="eastAsia"/>
        </w:rPr>
        <w:t>将虚拟现实电影节目导入被测设备的播放系统；</w:t>
      </w:r>
    </w:p>
    <w:p w14:paraId="5E44E7DC">
      <w:pPr>
        <w:pStyle w:val="180"/>
        <w:numPr>
          <w:ilvl w:val="0"/>
          <w:numId w:val="53"/>
        </w:numPr>
      </w:pPr>
      <w:r>
        <w:rPr>
          <w:rFonts w:hint="eastAsia"/>
        </w:rPr>
        <w:t>正常播放虚拟现实电影节目；</w:t>
      </w:r>
    </w:p>
    <w:p w14:paraId="147FDAE3">
      <w:pPr>
        <w:pStyle w:val="180"/>
        <w:numPr>
          <w:ilvl w:val="0"/>
          <w:numId w:val="53"/>
        </w:numPr>
      </w:pPr>
      <w:r>
        <w:rPr>
          <w:rFonts w:hint="eastAsia"/>
        </w:rPr>
        <w:t>检查能否从外接音视频接口导出节目信号；</w:t>
      </w:r>
    </w:p>
    <w:p w14:paraId="07FCE287">
      <w:pPr>
        <w:pStyle w:val="180"/>
        <w:numPr>
          <w:ilvl w:val="0"/>
          <w:numId w:val="51"/>
        </w:numPr>
      </w:pPr>
      <w:r>
        <w:rPr>
          <w:rFonts w:hint="eastAsia"/>
        </w:rPr>
        <w:t>在播放过程中打开设备外壳；</w:t>
      </w:r>
    </w:p>
    <w:p w14:paraId="0B8B0108">
      <w:pPr>
        <w:pStyle w:val="180"/>
        <w:numPr>
          <w:ilvl w:val="0"/>
          <w:numId w:val="51"/>
        </w:numPr>
      </w:pPr>
      <w:r>
        <w:rPr>
          <w:rFonts w:hint="eastAsia"/>
        </w:rPr>
        <w:t>查看设备是否停止播放并将异常状态记录在日志中。</w:t>
      </w:r>
    </w:p>
    <w:p w14:paraId="6EB334EB">
      <w:pPr>
        <w:pStyle w:val="71"/>
        <w:spacing w:before="120" w:after="120"/>
      </w:pPr>
      <w:bookmarkStart w:id="135" w:name="_Toc190791382"/>
      <w:bookmarkStart w:id="136" w:name="_Toc20558"/>
      <w:r>
        <w:rPr>
          <w:rFonts w:hint="eastAsia"/>
        </w:rPr>
        <w:t>头戴部分尺寸</w:t>
      </w:r>
      <w:r>
        <w:rPr>
          <w:rFonts w:hint="eastAsia" w:hAnsi="黑体"/>
        </w:rPr>
        <w:t>测量</w:t>
      </w:r>
      <w:bookmarkEnd w:id="135"/>
      <w:bookmarkEnd w:id="136"/>
    </w:p>
    <w:p w14:paraId="6C02113B">
      <w:pPr>
        <w:pStyle w:val="62"/>
        <w:ind w:firstLine="420"/>
      </w:pPr>
      <w:r>
        <w:rPr>
          <w:rFonts w:hint="eastAsia"/>
        </w:rPr>
        <w:t>拆去头部固定绑带，仅保留主体部分；使用卡尺分别测量设备主体的宽度、厚度、高度的最大尺寸 处，宽度方向、厚度方向、高度方向见图9。</w:t>
      </w:r>
    </w:p>
    <w:p w14:paraId="265BF9FF">
      <w:pPr>
        <w:pStyle w:val="62"/>
        <w:ind w:firstLine="420"/>
        <w:jc w:val="center"/>
      </w:pPr>
      <w:r>
        <w:drawing>
          <wp:inline distT="0" distB="0" distL="0" distR="0">
            <wp:extent cx="3483610" cy="2244725"/>
            <wp:effectExtent l="0" t="0" r="2540" b="3175"/>
            <wp:docPr id="3381533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153313" name="图片 1"/>
                    <pic:cNvPicPr>
                      <a:picLocks noChangeAspect="1"/>
                    </pic:cNvPicPr>
                  </pic:nvPicPr>
                  <pic:blipFill>
                    <a:blip r:embed="rId25"/>
                    <a:stretch>
                      <a:fillRect/>
                    </a:stretch>
                  </pic:blipFill>
                  <pic:spPr>
                    <a:xfrm>
                      <a:off x="0" y="0"/>
                      <a:ext cx="3495015" cy="2252293"/>
                    </a:xfrm>
                    <a:prstGeom prst="rect">
                      <a:avLst/>
                    </a:prstGeom>
                  </pic:spPr>
                </pic:pic>
              </a:graphicData>
            </a:graphic>
          </wp:inline>
        </w:drawing>
      </w:r>
    </w:p>
    <w:p w14:paraId="31928554">
      <w:pPr>
        <w:pStyle w:val="120"/>
        <w:spacing w:before="120" w:after="120"/>
      </w:pPr>
      <w:r>
        <w:rPr>
          <w:rFonts w:hint="eastAsia"/>
        </w:rPr>
        <w:t>头戴部分尺寸测量方向定义</w:t>
      </w:r>
    </w:p>
    <w:p w14:paraId="5D11AB40">
      <w:pPr>
        <w:pStyle w:val="71"/>
        <w:spacing w:before="120" w:after="120"/>
      </w:pPr>
      <w:bookmarkStart w:id="137" w:name="_Toc190791383"/>
      <w:bookmarkStart w:id="138" w:name="_Toc12757"/>
      <w:r>
        <w:rPr>
          <w:rFonts w:hint="eastAsia"/>
        </w:rPr>
        <w:t>菜单功能测量</w:t>
      </w:r>
      <w:bookmarkEnd w:id="137"/>
      <w:bookmarkEnd w:id="138"/>
    </w:p>
    <w:p w14:paraId="09E397E3">
      <w:pPr>
        <w:pStyle w:val="62"/>
        <w:ind w:firstLine="420"/>
        <w:rPr>
          <w:szCs w:val="21"/>
        </w:rPr>
      </w:pPr>
      <w:r>
        <w:rPr>
          <w:rFonts w:hint="eastAsia"/>
        </w:rPr>
        <w:t>菜单功能的测量步骤如下：</w:t>
      </w:r>
    </w:p>
    <w:p w14:paraId="7B468693">
      <w:pPr>
        <w:pStyle w:val="180"/>
        <w:numPr>
          <w:ilvl w:val="0"/>
          <w:numId w:val="55"/>
        </w:numPr>
      </w:pPr>
      <w:r>
        <w:rPr>
          <w:rFonts w:hint="eastAsia"/>
        </w:rPr>
        <w:t>检查被测设备的操作菜单；</w:t>
      </w:r>
    </w:p>
    <w:p w14:paraId="5BA5AE8F">
      <w:pPr>
        <w:pStyle w:val="180"/>
      </w:pPr>
      <w:r>
        <w:rPr>
          <w:rFonts w:hint="eastAsia"/>
        </w:rPr>
        <w:t>操作菜单中的各项设置、调节功能，记录操作结果和检查显示功能。</w:t>
      </w:r>
    </w:p>
    <w:p w14:paraId="7E269935">
      <w:pPr>
        <w:pStyle w:val="71"/>
        <w:spacing w:before="120" w:after="120"/>
        <w:rPr>
          <w:rFonts w:hint="eastAsia" w:hAnsi="黑体"/>
        </w:rPr>
      </w:pPr>
      <w:bookmarkStart w:id="139" w:name="_Toc190791385"/>
      <w:bookmarkStart w:id="140" w:name="_Toc25787"/>
      <w:r>
        <w:rPr>
          <w:rFonts w:hint="eastAsia" w:hAnsi="黑体"/>
        </w:rPr>
        <w:t>持续播放时间测量</w:t>
      </w:r>
      <w:bookmarkEnd w:id="139"/>
      <w:bookmarkEnd w:id="140"/>
    </w:p>
    <w:p w14:paraId="29D090B9">
      <w:pPr>
        <w:pStyle w:val="62"/>
        <w:ind w:firstLine="420"/>
      </w:pPr>
      <w:r>
        <w:rPr>
          <w:rFonts w:hint="eastAsia"/>
        </w:rPr>
        <w:t>运行测试程序时要求设备处于正常工作状态而不是特有测试模式。测试环境无光照要求。如被测设备不具备电池，将设备与供电设备连接，如被测设备使用电池，将设备充电至100%容量。</w:t>
      </w:r>
    </w:p>
    <w:p w14:paraId="414CD675">
      <w:pPr>
        <w:pStyle w:val="62"/>
        <w:ind w:firstLine="420"/>
      </w:pPr>
      <w:r>
        <w:rPr>
          <w:rFonts w:hint="eastAsia"/>
        </w:rPr>
        <w:t>被测设备上的测试程序完成以下测量步骤：</w:t>
      </w:r>
    </w:p>
    <w:p w14:paraId="3BCC2AC2">
      <w:pPr>
        <w:pStyle w:val="180"/>
        <w:numPr>
          <w:ilvl w:val="0"/>
          <w:numId w:val="56"/>
        </w:numPr>
      </w:pPr>
      <w:r>
        <w:rPr>
          <w:rFonts w:hint="eastAsia"/>
        </w:rPr>
        <w:t>循环播放固定视频；</w:t>
      </w:r>
    </w:p>
    <w:p w14:paraId="22912FAB">
      <w:pPr>
        <w:pStyle w:val="180"/>
      </w:pPr>
      <w:r>
        <w:rPr>
          <w:rFonts w:hint="eastAsia"/>
        </w:rPr>
        <w:t>以一秒为间隔，向测试计算机发送被测设备唯一地址，一般为设备号；</w:t>
      </w:r>
    </w:p>
    <w:p w14:paraId="36DE68C5">
      <w:pPr>
        <w:pStyle w:val="180"/>
      </w:pPr>
      <w:r>
        <w:rPr>
          <w:rFonts w:hint="eastAsia"/>
        </w:rPr>
        <w:t>记录从测试开始到首次接收到一个设备号数据的时间；</w:t>
      </w:r>
    </w:p>
    <w:p w14:paraId="0D662982">
      <w:pPr>
        <w:pStyle w:val="180"/>
      </w:pPr>
      <w:r>
        <w:rPr>
          <w:rFonts w:hint="eastAsia"/>
        </w:rPr>
        <w:t>记录新接收设备数据的时间；</w:t>
      </w:r>
    </w:p>
    <w:p w14:paraId="23530ED6">
      <w:pPr>
        <w:pStyle w:val="180"/>
      </w:pPr>
      <w:r>
        <w:rPr>
          <w:rFonts w:hint="eastAsia"/>
        </w:rPr>
        <w:t>当某一设备新接收数据时间和当前系统时间差距大于1 min时或者视频播放时间大于125min，该设备的测试结束；</w:t>
      </w:r>
    </w:p>
    <w:p w14:paraId="446CDA78">
      <w:pPr>
        <w:pStyle w:val="180"/>
        <w:rPr>
          <w:szCs w:val="21"/>
        </w:rPr>
      </w:pPr>
      <w:r>
        <w:rPr>
          <w:rFonts w:hint="eastAsia"/>
        </w:rPr>
        <w:t>测试结束时，被测设备最后数据接收时间和首个数据包接收时间的差值，即为被测设备的持续播放时间。</w:t>
      </w:r>
    </w:p>
    <w:p w14:paraId="1F060650">
      <w:pPr>
        <w:pStyle w:val="71"/>
        <w:spacing w:before="120" w:after="120"/>
      </w:pPr>
      <w:bookmarkStart w:id="141" w:name="_Toc190791386"/>
      <w:bookmarkStart w:id="142" w:name="_Toc25093"/>
      <w:r>
        <w:rPr>
          <w:rFonts w:hint="eastAsia"/>
        </w:rPr>
        <w:t>外观和结构</w:t>
      </w:r>
      <w:r>
        <w:rPr>
          <w:rFonts w:hint="eastAsia" w:hAnsi="黑体"/>
        </w:rPr>
        <w:t>测量</w:t>
      </w:r>
      <w:bookmarkEnd w:id="141"/>
      <w:bookmarkEnd w:id="142"/>
    </w:p>
    <w:p w14:paraId="452CE0F0">
      <w:pPr>
        <w:pStyle w:val="62"/>
        <w:ind w:firstLine="420"/>
        <w:rPr>
          <w:szCs w:val="21"/>
        </w:rPr>
      </w:pPr>
      <w:r>
        <w:rPr>
          <w:rFonts w:hint="eastAsia" w:hAnsi="宋体"/>
        </w:rPr>
        <w:t>外观和结构测量步骤如下：</w:t>
      </w:r>
    </w:p>
    <w:p w14:paraId="65BE21AA">
      <w:pPr>
        <w:pStyle w:val="180"/>
        <w:numPr>
          <w:ilvl w:val="0"/>
          <w:numId w:val="57"/>
        </w:numPr>
      </w:pPr>
      <w:r>
        <w:rPr>
          <w:rFonts w:hint="eastAsia"/>
        </w:rPr>
        <w:t>检查被测设备的产品外观并记录；</w:t>
      </w:r>
    </w:p>
    <w:p w14:paraId="4A1E65BA">
      <w:pPr>
        <w:pStyle w:val="180"/>
        <w:numPr>
          <w:ilvl w:val="0"/>
          <w:numId w:val="57"/>
        </w:numPr>
      </w:pPr>
      <w:r>
        <w:rPr>
          <w:rFonts w:hint="eastAsia"/>
        </w:rPr>
        <w:t>检查被测设备的零部件状况并记录；</w:t>
      </w:r>
    </w:p>
    <w:p w14:paraId="0B316ACA">
      <w:pPr>
        <w:pStyle w:val="180"/>
        <w:numPr>
          <w:ilvl w:val="0"/>
          <w:numId w:val="57"/>
        </w:numPr>
      </w:pPr>
      <w:r>
        <w:rPr>
          <w:rFonts w:hint="eastAsia"/>
        </w:rPr>
        <w:t>检查和拔插被测设备的可插拔部件状况并记录；</w:t>
      </w:r>
    </w:p>
    <w:p w14:paraId="01DA6F2D">
      <w:pPr>
        <w:pStyle w:val="180"/>
        <w:numPr>
          <w:ilvl w:val="0"/>
          <w:numId w:val="57"/>
        </w:numPr>
      </w:pPr>
      <w:r>
        <w:rPr>
          <w:rFonts w:hint="eastAsia"/>
        </w:rPr>
        <w:t>检查和操作被测设备的开关、按钮和其他控制部件，并记录响应情况；</w:t>
      </w:r>
    </w:p>
    <w:p w14:paraId="33E7AFC5">
      <w:pPr>
        <w:pStyle w:val="180"/>
        <w:numPr>
          <w:ilvl w:val="0"/>
          <w:numId w:val="57"/>
        </w:numPr>
      </w:pPr>
      <w:r>
        <w:rPr>
          <w:rFonts w:hint="eastAsia"/>
        </w:rPr>
        <w:t>检查被测设备的</w:t>
      </w:r>
      <w:r>
        <w:rPr>
          <w:rFonts w:hint="eastAsia"/>
          <w:spacing w:val="-11"/>
        </w:rPr>
        <w:t>产品标志、铭牌和说明功能的文字及符号并记录。</w:t>
      </w:r>
    </w:p>
    <w:p w14:paraId="5A4EE8AA">
      <w:pPr>
        <w:pStyle w:val="71"/>
        <w:spacing w:before="120" w:after="120"/>
      </w:pPr>
      <w:bookmarkStart w:id="143" w:name="_Toc190791387"/>
      <w:bookmarkStart w:id="144" w:name="_Toc4838"/>
      <w:r>
        <w:rPr>
          <w:rFonts w:hint="eastAsia"/>
        </w:rPr>
        <w:t>电源适应能力</w:t>
      </w:r>
      <w:r>
        <w:rPr>
          <w:rFonts w:hint="eastAsia" w:hAnsi="黑体"/>
        </w:rPr>
        <w:t>测量</w:t>
      </w:r>
      <w:bookmarkEnd w:id="143"/>
      <w:bookmarkEnd w:id="144"/>
    </w:p>
    <w:p w14:paraId="2040B945">
      <w:pPr>
        <w:pStyle w:val="62"/>
        <w:ind w:firstLine="420"/>
        <w:rPr>
          <w:szCs w:val="21"/>
        </w:rPr>
      </w:pPr>
      <w:r>
        <w:rPr>
          <w:rFonts w:hint="eastAsia"/>
        </w:rPr>
        <w:t>电源适应能力的测量步骤如下：</w:t>
      </w:r>
    </w:p>
    <w:p w14:paraId="6E105B0A">
      <w:pPr>
        <w:pStyle w:val="180"/>
        <w:numPr>
          <w:ilvl w:val="0"/>
          <w:numId w:val="58"/>
        </w:numPr>
      </w:pPr>
      <w:r>
        <w:rPr>
          <w:rFonts w:hint="eastAsia"/>
        </w:rPr>
        <w:t>将被测设备与测量用程控电源正确连接；</w:t>
      </w:r>
    </w:p>
    <w:p w14:paraId="048179B6">
      <w:pPr>
        <w:pStyle w:val="180"/>
      </w:pPr>
      <w:r>
        <w:rPr>
          <w:rFonts w:hint="eastAsia"/>
        </w:rPr>
        <w:t>设置测量用程控电源的输出参数为交流242 V 51 Hz（直流电压标称值的10</w:t>
      </w:r>
      <w:r>
        <w:t>5</w:t>
      </w:r>
      <w:r>
        <w:rPr>
          <w:rFonts w:hint="eastAsia"/>
        </w:rPr>
        <w:t>%）；</w:t>
      </w:r>
    </w:p>
    <w:p w14:paraId="7626DDF5">
      <w:pPr>
        <w:pStyle w:val="180"/>
      </w:pPr>
      <w:r>
        <w:rPr>
          <w:rFonts w:hint="eastAsia"/>
        </w:rPr>
        <w:t>被测设备循环播放固定视频，放映10 min后记录工作状态；</w:t>
      </w:r>
    </w:p>
    <w:p w14:paraId="4C1DEB9A">
      <w:pPr>
        <w:pStyle w:val="180"/>
      </w:pPr>
      <w:r>
        <w:rPr>
          <w:rFonts w:hint="eastAsia"/>
        </w:rPr>
        <w:t>设置测量用程控电源的输出参数为交流198 V 49 Hz（直流电压标称值的</w:t>
      </w:r>
      <w:r>
        <w:t>95</w:t>
      </w:r>
      <w:r>
        <w:rPr>
          <w:rFonts w:hint="eastAsia"/>
        </w:rPr>
        <w:t>%）；</w:t>
      </w:r>
    </w:p>
    <w:p w14:paraId="32E4467E">
      <w:pPr>
        <w:pStyle w:val="180"/>
      </w:pPr>
      <w:r>
        <w:rPr>
          <w:rFonts w:hint="eastAsia"/>
        </w:rPr>
        <w:t>被测设备循环播放固定视频，放映10 min后记录工作状态；</w:t>
      </w:r>
    </w:p>
    <w:p w14:paraId="7A71178D">
      <w:pPr>
        <w:pStyle w:val="180"/>
      </w:pPr>
      <w:r>
        <w:rPr>
          <w:rFonts w:hint="eastAsia"/>
        </w:rPr>
        <w:t>播放过程中设置测量用程控电源的输出参数在交流电压198 V至242 V（直流电压标称值的9</w:t>
      </w:r>
      <w:r>
        <w:t>5%</w:t>
      </w:r>
      <w:r>
        <w:rPr>
          <w:rFonts w:hint="eastAsia" w:hAnsi="宋体"/>
        </w:rPr>
        <w:t>～</w:t>
      </w:r>
      <w:r>
        <w:rPr>
          <w:rFonts w:hint="eastAsia"/>
        </w:rPr>
        <w:t>10</w:t>
      </w:r>
      <w:r>
        <w:t>5</w:t>
      </w:r>
      <w:r>
        <w:rPr>
          <w:rFonts w:hint="eastAsia"/>
        </w:rPr>
        <w:t>%）范围内，频率在49 Hz至51 Hz范围内随机跳变，记录被测虚拟现实头戴式显示设备在电源变化时的工作状态。</w:t>
      </w:r>
    </w:p>
    <w:p w14:paraId="5FA17CDF">
      <w:pPr>
        <w:pStyle w:val="71"/>
        <w:spacing w:before="120" w:after="120"/>
      </w:pPr>
      <w:bookmarkStart w:id="145" w:name="_Toc190791388"/>
      <w:bookmarkStart w:id="146" w:name="_Toc1527"/>
      <w:r>
        <w:rPr>
          <w:rFonts w:hint="eastAsia"/>
        </w:rPr>
        <w:t>温度适应能力测量</w:t>
      </w:r>
      <w:bookmarkEnd w:id="145"/>
      <w:bookmarkEnd w:id="146"/>
    </w:p>
    <w:p w14:paraId="51407291">
      <w:pPr>
        <w:pStyle w:val="62"/>
        <w:ind w:firstLine="420"/>
      </w:pPr>
      <w:r>
        <w:rPr>
          <w:rFonts w:hint="eastAsia"/>
        </w:rPr>
        <w:t>温度适应能力测量步骤如下：</w:t>
      </w:r>
    </w:p>
    <w:p w14:paraId="307812AC">
      <w:pPr>
        <w:pStyle w:val="180"/>
        <w:numPr>
          <w:ilvl w:val="0"/>
          <w:numId w:val="59"/>
        </w:numPr>
        <w:rPr>
          <w:kern w:val="2"/>
          <w:szCs w:val="21"/>
        </w:rPr>
      </w:pPr>
      <w:r>
        <w:t>将</w:t>
      </w:r>
      <w:r>
        <w:rPr>
          <w:rFonts w:hint="eastAsia"/>
        </w:rPr>
        <w:t>被测设备</w:t>
      </w:r>
      <w:r>
        <w:t>置入高低温试验箱，设备在温度0</w:t>
      </w:r>
      <w:r>
        <w:rPr>
          <w:rFonts w:hint="eastAsia"/>
        </w:rPr>
        <w:t xml:space="preserve"> </w:t>
      </w:r>
      <w:r>
        <w:t>ºC的测试环境中先稳定2</w:t>
      </w:r>
      <w:r>
        <w:rPr>
          <w:rFonts w:hint="eastAsia"/>
        </w:rPr>
        <w:t xml:space="preserve"> </w:t>
      </w:r>
      <w:r>
        <w:t>h后开机连续满负荷8</w:t>
      </w:r>
      <w:r>
        <w:rPr>
          <w:rFonts w:hint="eastAsia"/>
        </w:rPr>
        <w:t xml:space="preserve"> </w:t>
      </w:r>
      <w:r>
        <w:t>h运行；</w:t>
      </w:r>
    </w:p>
    <w:p w14:paraId="09711CD7">
      <w:pPr>
        <w:pStyle w:val="180"/>
      </w:pPr>
      <w:r>
        <w:t>将</w:t>
      </w:r>
      <w:r>
        <w:rPr>
          <w:rFonts w:hint="eastAsia"/>
        </w:rPr>
        <w:t>被测设备</w:t>
      </w:r>
      <w:r>
        <w:t>置入高低温试验箱，设备在温度40</w:t>
      </w:r>
      <w:r>
        <w:rPr>
          <w:rFonts w:hint="eastAsia"/>
        </w:rPr>
        <w:t xml:space="preserve"> </w:t>
      </w:r>
      <w:r>
        <w:t>ºC的测试环境中先稳定2</w:t>
      </w:r>
      <w:r>
        <w:rPr>
          <w:rFonts w:hint="eastAsia"/>
        </w:rPr>
        <w:t xml:space="preserve"> </w:t>
      </w:r>
      <w:r>
        <w:t>h后开机连续满负荷8</w:t>
      </w:r>
      <w:r>
        <w:rPr>
          <w:rFonts w:hint="eastAsia"/>
        </w:rPr>
        <w:t xml:space="preserve"> </w:t>
      </w:r>
      <w:r>
        <w:t>h运行</w:t>
      </w:r>
      <w:r>
        <w:rPr>
          <w:rFonts w:hint="eastAsia"/>
        </w:rPr>
        <w:t>；</w:t>
      </w:r>
    </w:p>
    <w:p w14:paraId="536C1B1A">
      <w:pPr>
        <w:pStyle w:val="180"/>
      </w:pPr>
      <w:r>
        <w:rPr>
          <w:rFonts w:hint="eastAsia"/>
        </w:rPr>
        <w:t>记录被测设备的工作状态。</w:t>
      </w:r>
    </w:p>
    <w:p w14:paraId="75589AB8">
      <w:pPr>
        <w:pStyle w:val="180"/>
        <w:numPr>
          <w:ilvl w:val="0"/>
          <w:numId w:val="0"/>
        </w:numPr>
        <w:ind w:left="851"/>
      </w:pPr>
    </w:p>
    <w:p w14:paraId="7937A113">
      <w:pPr>
        <w:pStyle w:val="62"/>
        <w:ind w:firstLine="0" w:firstLineChars="0"/>
        <w:jc w:val="center"/>
      </w:pPr>
    </w:p>
    <w:p w14:paraId="04A6EA55">
      <w:pPr>
        <w:pStyle w:val="62"/>
        <w:ind w:firstLine="0" w:firstLineChars="0"/>
        <w:jc w:val="center"/>
      </w:pPr>
    </w:p>
    <w:p w14:paraId="42657594">
      <w:pPr>
        <w:pStyle w:val="62"/>
        <w:ind w:firstLine="0" w:firstLineChars="0"/>
        <w:jc w:val="center"/>
      </w:pPr>
    </w:p>
    <w:bookmarkEnd w:id="19"/>
    <w:p w14:paraId="164CE1F2">
      <w:pPr>
        <w:pStyle w:val="204"/>
        <w:rPr>
          <w:vanish w:val="0"/>
        </w:rPr>
      </w:pPr>
      <w:bookmarkStart w:id="147" w:name="BookMark5"/>
    </w:p>
    <w:bookmarkEnd w:id="147"/>
    <w:p w14:paraId="7087D30A">
      <w:pPr>
        <w:pStyle w:val="62"/>
        <w:ind w:firstLine="0" w:firstLineChars="0"/>
        <w:jc w:val="center"/>
        <w:sectPr>
          <w:pgSz w:w="11906" w:h="16838"/>
          <w:pgMar w:top="1928" w:right="1134" w:bottom="1134" w:left="1134" w:header="1418" w:footer="1134" w:gutter="284"/>
          <w:pgNumType w:start="1"/>
          <w:cols w:space="425" w:num="1"/>
          <w:formProt w:val="0"/>
          <w:docGrid w:linePitch="312" w:charSpace="0"/>
        </w:sectPr>
      </w:pPr>
      <w:bookmarkStart w:id="148" w:name="BookMark6"/>
    </w:p>
    <w:p w14:paraId="25B80CB0">
      <w:pPr>
        <w:pStyle w:val="69"/>
        <w:spacing w:after="120"/>
      </w:pPr>
      <w:bookmarkStart w:id="149" w:name="_Toc23516"/>
      <w:r>
        <w:rPr>
          <w:rFonts w:hint="eastAsia"/>
          <w:spacing w:val="105"/>
        </w:rPr>
        <w:t>参考文</w:t>
      </w:r>
      <w:r>
        <w:rPr>
          <w:rFonts w:hint="eastAsia"/>
        </w:rPr>
        <w:t>献</w:t>
      </w:r>
      <w:bookmarkEnd w:id="149"/>
    </w:p>
    <w:p w14:paraId="20CB7EB3">
      <w:pPr>
        <w:pStyle w:val="62"/>
        <w:ind w:firstLine="420"/>
      </w:pPr>
      <w:bookmarkStart w:id="150" w:name="OLE_LINK12"/>
      <w:r>
        <w:rPr>
          <w:rFonts w:hint="eastAsia"/>
        </w:rPr>
        <w:t>[</w:t>
      </w:r>
      <w:r>
        <w:t xml:space="preserve">1] </w:t>
      </w:r>
      <w:bookmarkEnd w:id="150"/>
      <w:r>
        <w:rPr>
          <w:rFonts w:hint="eastAsia"/>
        </w:rPr>
        <w:t>GB/T 7921—2008 均匀色空间和色差公式</w:t>
      </w:r>
    </w:p>
    <w:p w14:paraId="39C86CCC">
      <w:pPr>
        <w:pStyle w:val="62"/>
        <w:ind w:firstLine="420"/>
      </w:pPr>
      <w:r>
        <w:rPr>
          <w:rFonts w:hint="eastAsia"/>
        </w:rPr>
        <w:t>[2</w:t>
      </w:r>
      <w:r>
        <w:t>]</w:t>
      </w:r>
      <w:r>
        <w:rPr>
          <w:rFonts w:hint="eastAsia"/>
        </w:rPr>
        <w:t xml:space="preserve"> GB/T 10987—2009 光学系统 参数的测定</w:t>
      </w:r>
    </w:p>
    <w:p w14:paraId="5902AACB">
      <w:pPr>
        <w:pStyle w:val="62"/>
        <w:ind w:firstLine="420"/>
      </w:pPr>
      <w:r>
        <w:rPr>
          <w:rFonts w:hint="eastAsia"/>
        </w:rPr>
        <w:t>[3</w:t>
      </w:r>
      <w:r>
        <w:t>]</w:t>
      </w:r>
      <w:r>
        <w:rPr>
          <w:rFonts w:hint="eastAsia"/>
        </w:rPr>
        <w:t xml:space="preserve"> GB/T 17117—2008 双目望远镜</w:t>
      </w:r>
    </w:p>
    <w:p w14:paraId="565F2209">
      <w:pPr>
        <w:pStyle w:val="62"/>
        <w:ind w:firstLine="420"/>
      </w:pPr>
      <w:r>
        <w:rPr>
          <w:rFonts w:hint="eastAsia"/>
        </w:rPr>
        <w:t>[4</w:t>
      </w:r>
      <w:r>
        <w:t>]</w:t>
      </w:r>
      <w:r>
        <w:rPr>
          <w:rFonts w:hint="eastAsia"/>
        </w:rPr>
        <w:t xml:space="preserve"> GB/T 18312—2015 双筒望远镜检验规则</w:t>
      </w:r>
    </w:p>
    <w:p w14:paraId="1AA98984">
      <w:pPr>
        <w:pStyle w:val="62"/>
        <w:ind w:firstLine="420"/>
      </w:pPr>
      <w:r>
        <w:rPr>
          <w:rFonts w:hint="eastAsia"/>
        </w:rPr>
        <w:t>[5</w:t>
      </w:r>
      <w:r>
        <w:t xml:space="preserve">] </w:t>
      </w:r>
      <w:r>
        <w:rPr>
          <w:rFonts w:hint="eastAsia"/>
        </w:rPr>
        <w:t>DY/T 9—2025 数字影院放映用投影机系统技术要求和测量方法</w:t>
      </w:r>
      <w:r>
        <w:t xml:space="preserve"> </w:t>
      </w:r>
    </w:p>
    <w:p w14:paraId="750D430C">
      <w:pPr>
        <w:pStyle w:val="62"/>
        <w:ind w:firstLine="420"/>
      </w:pPr>
      <w:r>
        <w:rPr>
          <w:rFonts w:hint="eastAsia"/>
        </w:rPr>
        <w:t>[6</w:t>
      </w:r>
      <w:r>
        <w:t>]</w:t>
      </w:r>
      <w:r>
        <w:rPr>
          <w:rFonts w:hint="eastAsia"/>
        </w:rPr>
        <w:t xml:space="preserve"> GY/T 155—2000 高清晰度电视节目制作及交换用视频参数值</w:t>
      </w:r>
      <w:r>
        <w:t xml:space="preserve"> </w:t>
      </w:r>
    </w:p>
    <w:p w14:paraId="18D2291C">
      <w:pPr>
        <w:pStyle w:val="62"/>
        <w:ind w:firstLine="420"/>
      </w:pPr>
      <w:r>
        <w:rPr>
          <w:rFonts w:hint="eastAsia"/>
        </w:rPr>
        <w:t>[7</w:t>
      </w:r>
      <w:r>
        <w:t>]</w:t>
      </w:r>
      <w:r>
        <w:rPr>
          <w:rFonts w:hint="eastAsia"/>
        </w:rPr>
        <w:t xml:space="preserve"> SJ/T 11281—2017 发光二极管（LED）显示屏测试方法</w:t>
      </w:r>
    </w:p>
    <w:p w14:paraId="517FD37D">
      <w:pPr>
        <w:pStyle w:val="62"/>
        <w:ind w:firstLine="420"/>
      </w:pPr>
      <w:r>
        <w:rPr>
          <w:rFonts w:hint="eastAsia"/>
        </w:rPr>
        <w:t>[8</w:t>
      </w:r>
      <w:r>
        <w:t>]</w:t>
      </w:r>
      <w:r>
        <w:rPr>
          <w:rFonts w:hint="eastAsia"/>
        </w:rPr>
        <w:t xml:space="preserve"> SJ/T 11298—2003 数字投影机通用规范</w:t>
      </w:r>
    </w:p>
    <w:p w14:paraId="2FE144B8">
      <w:pPr>
        <w:pStyle w:val="62"/>
        <w:ind w:firstLine="0" w:firstLineChars="0"/>
      </w:pPr>
    </w:p>
    <w:p w14:paraId="7016064E">
      <w:pPr>
        <w:pStyle w:val="62"/>
        <w:ind w:firstLine="420"/>
        <w:jc w:val="center"/>
      </w:pPr>
      <w:bookmarkStart w:id="151" w:name="BookMark8"/>
      <w:r>
        <w:rPr>
          <w:rFonts w:hint="eastAsia"/>
        </w:rPr>
        <w:drawing>
          <wp:inline distT="0" distB="0" distL="0" distR="0">
            <wp:extent cx="1485900" cy="317500"/>
            <wp:effectExtent l="0" t="0" r="0" b="6350"/>
            <wp:docPr id="307619993" name="图片 3"/>
            <wp:cNvGraphicFramePr/>
            <a:graphic xmlns:a="http://schemas.openxmlformats.org/drawingml/2006/main">
              <a:graphicData uri="http://schemas.openxmlformats.org/drawingml/2006/picture">
                <pic:pic xmlns:pic="http://schemas.openxmlformats.org/drawingml/2006/picture">
                  <pic:nvPicPr>
                    <pic:cNvPr id="307619993" name="图片 3"/>
                    <pic:cNvPicPr/>
                  </pic:nvPicPr>
                  <pic:blipFill>
                    <a:blip r:embed="rId26">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48"/>
      <w:bookmarkEnd w:id="151"/>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TimesNewRomanPS-ItalicMT">
    <w:altName w:val="Times New Roman"/>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298E3">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584ED">
    <w:pPr>
      <w:pStyle w:val="19"/>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61F99">
    <w:pPr>
      <w:pStyle w:val="19"/>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FFEEC">
    <w:pPr>
      <w:pStyle w:val="58"/>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749A0">
    <w:pPr>
      <w:pStyle w:val="20"/>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EAC4F">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D8364">
    <w:pPr>
      <w:pStyle w:val="20"/>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7405B">
    <w:pPr>
      <w:pStyle w:val="67"/>
      <w:rPr>
        <w:rFonts w:hint="eastAsia"/>
      </w:rPr>
    </w:pPr>
    <w:r>
      <w:fldChar w:fldCharType="begin"/>
    </w:r>
    <w:r>
      <w:instrText xml:space="preserve"> STYLEREF  标准文件_文件编号  \* MERGEFORMAT </w:instrText>
    </w:r>
    <w:r>
      <w:fldChar w:fldCharType="separate"/>
    </w:r>
    <w:r>
      <w:t>DY/Z XXXXX—XXXX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66E16">
    <w:pPr>
      <w:pStyle w:val="20"/>
      <w:jc w:val="right"/>
    </w:pPr>
    <w:r>
      <w:fldChar w:fldCharType="begin"/>
    </w:r>
    <w:r>
      <w:instrText xml:space="preserve"> STYLEREF  标准文件_文件编号  \* MERGEFORMAT </w:instrText>
    </w:r>
    <w:r>
      <w:fldChar w:fldCharType="separate"/>
    </w:r>
    <w:r>
      <w:t>DY/Z XXXXX—XXXX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70"/>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5"/>
      <w:suff w:val="nothing"/>
      <w:lvlText w:val="%1%2.%3　"/>
      <w:lvlJc w:val="left"/>
      <w:pPr>
        <w:ind w:left="0" w:firstLine="0"/>
      </w:pPr>
    </w:lvl>
    <w:lvl w:ilvl="3" w:tentative="0">
      <w:start w:val="1"/>
      <w:numFmt w:val="decimal"/>
      <w:pStyle w:val="124"/>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pStyle w:val="161"/>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6"/>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5"/>
      <w:lvlText w:val="%1"/>
      <w:lvlJc w:val="left"/>
      <w:pPr>
        <w:ind w:left="425" w:hanging="425"/>
      </w:pPr>
      <w:rPr>
        <w:rFonts w:hint="eastAsia"/>
      </w:rPr>
    </w:lvl>
    <w:lvl w:ilvl="1" w:tentative="0">
      <w:start w:val="1"/>
      <w:numFmt w:val="decimal"/>
      <w:suff w:val="nothing"/>
      <w:lvlText w:val="%10.%2 "/>
      <w:lvlJc w:val="left"/>
      <w:pPr>
        <w:ind w:left="0" w:firstLine="0"/>
      </w:pPr>
      <w:rPr>
        <w:rFonts w:hint="eastAsia" w:ascii="黑体" w:eastAsia="黑体" w:hAnsiTheme="minorHAnsi"/>
        <w:b w:val="0"/>
        <w:i w:val="0"/>
        <w:sz w:val="21"/>
      </w:rPr>
    </w:lvl>
    <w:lvl w:ilvl="2" w:tentative="0">
      <w:start w:val="1"/>
      <w:numFmt w:val="decimal"/>
      <w:suff w:val="nothing"/>
      <w:lvlText w:val="%10.%2.%3 "/>
      <w:lvlJc w:val="left"/>
      <w:pPr>
        <w:ind w:left="0" w:firstLine="0"/>
      </w:pPr>
      <w:rPr>
        <w:rFonts w:hint="eastAsia" w:ascii="黑体" w:eastAsia="黑体" w:hAnsiTheme="minorHAnsi"/>
        <w:b w:val="0"/>
        <w:i w:val="0"/>
        <w:sz w:val="21"/>
      </w:rPr>
    </w:lvl>
    <w:lvl w:ilvl="3" w:tentative="0">
      <w:start w:val="1"/>
      <w:numFmt w:val="decimal"/>
      <w:suff w:val="nothing"/>
      <w:lvlText w:val="%10.%2.%3.%4 "/>
      <w:lvlJc w:val="left"/>
      <w:pPr>
        <w:ind w:left="0" w:firstLine="0"/>
      </w:pPr>
      <w:rPr>
        <w:rFonts w:hint="eastAsia" w:ascii="黑体" w:eastAsia="黑体" w:hAnsiTheme="minorHAnsi"/>
        <w:b w:val="0"/>
        <w:i w:val="0"/>
        <w:sz w:val="21"/>
      </w:rPr>
    </w:lvl>
    <w:lvl w:ilvl="4" w:tentative="0">
      <w:start w:val="1"/>
      <w:numFmt w:val="decimal"/>
      <w:pStyle w:val="209"/>
      <w:suff w:val="nothing"/>
      <w:lvlText w:val="%10.%2.%3.%4.%5 "/>
      <w:lvlJc w:val="left"/>
      <w:pPr>
        <w:ind w:left="0" w:firstLine="0"/>
      </w:pPr>
      <w:rPr>
        <w:rFonts w:hint="eastAsia" w:ascii="黑体" w:eastAsia="黑体" w:hAnsiTheme="minorHAnsi"/>
        <w:b w:val="0"/>
        <w:i w:val="0"/>
        <w:sz w:val="21"/>
      </w:rPr>
    </w:lvl>
    <w:lvl w:ilvl="5" w:tentative="0">
      <w:start w:val="1"/>
      <w:numFmt w:val="decimal"/>
      <w:pStyle w:val="210"/>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7"/>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3"/>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5"/>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6"/>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91"/>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8"/>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8"/>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3"/>
      <w:lvlText w:val=""/>
      <w:lvlJc w:val="left"/>
      <w:pPr>
        <w:ind w:left="851" w:hanging="431"/>
      </w:pPr>
      <w:rPr>
        <w:rFonts w:hint="default" w:ascii="Symbol" w:hAnsi="Symbol"/>
        <w:sz w:val="21"/>
      </w:rPr>
    </w:lvl>
    <w:lvl w:ilvl="2" w:tentative="0">
      <w:start w:val="1"/>
      <w:numFmt w:val="bullet"/>
      <w:pStyle w:val="178"/>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7"/>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80"/>
      <w:lvlText w:val="%1)"/>
      <w:lvlJc w:val="left"/>
      <w:pPr>
        <w:tabs>
          <w:tab w:val="left" w:pos="851"/>
        </w:tabs>
        <w:ind w:left="851" w:hanging="426"/>
      </w:pPr>
      <w:rPr>
        <w:rFonts w:hint="eastAsia" w:ascii="宋体" w:hAnsi="Times New Roman" w:eastAsia="宋体"/>
        <w:sz w:val="21"/>
      </w:rPr>
    </w:lvl>
    <w:lvl w:ilvl="1" w:tentative="0">
      <w:start w:val="1"/>
      <w:numFmt w:val="decimal"/>
      <w:pStyle w:val="115"/>
      <w:lvlText w:val="%2)"/>
      <w:lvlJc w:val="left"/>
      <w:pPr>
        <w:tabs>
          <w:tab w:val="left" w:pos="1276"/>
        </w:tabs>
        <w:ind w:left="1276" w:hanging="425"/>
      </w:pPr>
      <w:rPr>
        <w:rFonts w:hint="eastAsia" w:ascii="宋体" w:hAnsi="Times New Roman" w:eastAsia="宋体"/>
        <w:sz w:val="21"/>
      </w:rPr>
    </w:lvl>
    <w:lvl w:ilvl="2" w:tentative="0">
      <w:start w:val="1"/>
      <w:numFmt w:val="decimal"/>
      <w:pStyle w:val="123"/>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4"/>
      <w:lvlText w:val="%1"/>
      <w:lvlJc w:val="left"/>
      <w:pPr>
        <w:ind w:left="420" w:hanging="420"/>
      </w:pPr>
      <w:rPr>
        <w:rFonts w:hint="eastAsia"/>
      </w:rPr>
    </w:lvl>
    <w:lvl w:ilvl="1" w:tentative="0">
      <w:start w:val="1"/>
      <w:numFmt w:val="decimal"/>
      <w:pStyle w:val="89"/>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9"/>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22"/>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9"/>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20"/>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5"/>
      <w:suff w:val="space"/>
      <w:lvlText w:val="%1"/>
      <w:lvlJc w:val="left"/>
      <w:pPr>
        <w:ind w:left="425" w:hanging="425"/>
      </w:pPr>
      <w:rPr>
        <w:rFonts w:hint="eastAsia"/>
      </w:rPr>
    </w:lvl>
    <w:lvl w:ilvl="1" w:tentative="0">
      <w:start w:val="1"/>
      <w:numFmt w:val="decimal"/>
      <w:pStyle w:val="83"/>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7"/>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4"/>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8"/>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5"/>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suff w:val="nothing"/>
      <w:lvlText w:val="附录%1"/>
      <w:lvlJc w:val="left"/>
      <w:pPr>
        <w:ind w:left="0" w:firstLine="0"/>
      </w:pPr>
      <w:rPr>
        <w:rFonts w:hint="eastAsia"/>
        <w:spacing w:val="100"/>
      </w:rPr>
    </w:lvl>
    <w:lvl w:ilvl="1" w:tentative="0">
      <w:start w:val="1"/>
      <w:numFmt w:val="decimal"/>
      <w:pStyle w:val="84"/>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eastAsia="黑体"/>
        <w:b w:val="0"/>
        <w:i w:val="0"/>
        <w:sz w:val="21"/>
      </w:rPr>
    </w:lvl>
    <w:lvl w:ilvl="3" w:tentative="0">
      <w:start w:val="1"/>
      <w:numFmt w:val="decimal"/>
      <w:pStyle w:val="87"/>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pStyle w:val="90"/>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4"/>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103"/>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9"/>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8"/>
      <w:suff w:val="nothing"/>
      <w:lvlText w:val="%1"/>
      <w:lvlJc w:val="left"/>
      <w:pPr>
        <w:ind w:left="0" w:firstLine="0"/>
      </w:pPr>
      <w:rPr>
        <w:rFonts w:hint="eastAsia"/>
      </w:rPr>
    </w:lvl>
    <w:lvl w:ilvl="1" w:tentative="0">
      <w:start w:val="1"/>
      <w:numFmt w:val="decimal"/>
      <w:pStyle w:val="110"/>
      <w:suff w:val="nothing"/>
      <w:lvlText w:val="%1%2　"/>
      <w:lvlJc w:val="left"/>
      <w:pPr>
        <w:ind w:left="0" w:firstLine="0"/>
      </w:pPr>
      <w:rPr>
        <w:rFonts w:hint="eastAsia" w:ascii="黑体" w:eastAsia="黑体"/>
        <w:b w:val="0"/>
        <w:i w:val="0"/>
        <w:sz w:val="21"/>
      </w:rPr>
    </w:lvl>
    <w:lvl w:ilvl="2" w:tentative="0">
      <w:start w:val="1"/>
      <w:numFmt w:val="decimal"/>
      <w:pStyle w:val="111"/>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71"/>
      <w:suff w:val="nothing"/>
      <w:lvlText w:val="%1%2.%3.%4　"/>
      <w:lvlJc w:val="left"/>
      <w:pPr>
        <w:ind w:left="5671" w:firstLine="0"/>
      </w:pPr>
      <w:rPr>
        <w:rFonts w:hint="eastAsia" w:ascii="黑体" w:eastAsia="黑体"/>
        <w:b w:val="0"/>
        <w:i w:val="0"/>
        <w:sz w:val="21"/>
      </w:rPr>
    </w:lvl>
    <w:lvl w:ilvl="4" w:tentative="0">
      <w:start w:val="1"/>
      <w:numFmt w:val="decimal"/>
      <w:pStyle w:val="100"/>
      <w:suff w:val="nothing"/>
      <w:lvlText w:val="%1%2.%3.%4.%5　"/>
      <w:lvlJc w:val="left"/>
      <w:pPr>
        <w:ind w:left="0" w:firstLine="0"/>
      </w:pPr>
      <w:rPr>
        <w:rFonts w:hint="eastAsia" w:ascii="黑体" w:eastAsia="黑体"/>
        <w:b w:val="0"/>
        <w:i w:val="0"/>
        <w:sz w:val="21"/>
      </w:rPr>
    </w:lvl>
    <w:lvl w:ilvl="5" w:tentative="0">
      <w:start w:val="1"/>
      <w:numFmt w:val="decimal"/>
      <w:pStyle w:val="10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5"/>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21"/>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5"/>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18"/>
  </w:num>
  <w:num w:numId="5">
    <w:abstractNumId w:val="23"/>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bordersDoNotSurroundHeader w:val="1"/>
  <w:bordersDoNotSurroundFooter w:val="1"/>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1D2"/>
    <w:rsid w:val="0000040A"/>
    <w:rsid w:val="00000A94"/>
    <w:rsid w:val="00001972"/>
    <w:rsid w:val="00001D9A"/>
    <w:rsid w:val="00005F7E"/>
    <w:rsid w:val="00007B3A"/>
    <w:rsid w:val="000107E0"/>
    <w:rsid w:val="00011FDE"/>
    <w:rsid w:val="00012172"/>
    <w:rsid w:val="00012FFD"/>
    <w:rsid w:val="00014162"/>
    <w:rsid w:val="00014340"/>
    <w:rsid w:val="00016A8D"/>
    <w:rsid w:val="00016A9C"/>
    <w:rsid w:val="00022184"/>
    <w:rsid w:val="00022762"/>
    <w:rsid w:val="000238E0"/>
    <w:rsid w:val="000249DB"/>
    <w:rsid w:val="0002595E"/>
    <w:rsid w:val="00027377"/>
    <w:rsid w:val="00027A2F"/>
    <w:rsid w:val="000303C3"/>
    <w:rsid w:val="00030CB8"/>
    <w:rsid w:val="000317DB"/>
    <w:rsid w:val="000331D3"/>
    <w:rsid w:val="00033909"/>
    <w:rsid w:val="0003454A"/>
    <w:rsid w:val="000346A5"/>
    <w:rsid w:val="000359C3"/>
    <w:rsid w:val="00035A7D"/>
    <w:rsid w:val="00040013"/>
    <w:rsid w:val="000410E8"/>
    <w:rsid w:val="0004249A"/>
    <w:rsid w:val="00043282"/>
    <w:rsid w:val="00044286"/>
    <w:rsid w:val="00047F28"/>
    <w:rsid w:val="00047F8C"/>
    <w:rsid w:val="000503AA"/>
    <w:rsid w:val="000506A1"/>
    <w:rsid w:val="00050D54"/>
    <w:rsid w:val="000515DD"/>
    <w:rsid w:val="0005265A"/>
    <w:rsid w:val="000539DD"/>
    <w:rsid w:val="00053BD3"/>
    <w:rsid w:val="000556ED"/>
    <w:rsid w:val="000558A3"/>
    <w:rsid w:val="00055FE2"/>
    <w:rsid w:val="0005616F"/>
    <w:rsid w:val="00060C2E"/>
    <w:rsid w:val="00061033"/>
    <w:rsid w:val="000619E9"/>
    <w:rsid w:val="000622D4"/>
    <w:rsid w:val="0006357D"/>
    <w:rsid w:val="000637C1"/>
    <w:rsid w:val="00065D68"/>
    <w:rsid w:val="00067F1E"/>
    <w:rsid w:val="000707A0"/>
    <w:rsid w:val="00071CC0"/>
    <w:rsid w:val="00073C8C"/>
    <w:rsid w:val="00077B64"/>
    <w:rsid w:val="000809D4"/>
    <w:rsid w:val="00080A1C"/>
    <w:rsid w:val="00080D17"/>
    <w:rsid w:val="00082317"/>
    <w:rsid w:val="00083D2C"/>
    <w:rsid w:val="00085BEC"/>
    <w:rsid w:val="00085C75"/>
    <w:rsid w:val="00086AA1"/>
    <w:rsid w:val="00087A77"/>
    <w:rsid w:val="00090CA6"/>
    <w:rsid w:val="000929EF"/>
    <w:rsid w:val="00092B8A"/>
    <w:rsid w:val="00092FB0"/>
    <w:rsid w:val="000934C5"/>
    <w:rsid w:val="00093D25"/>
    <w:rsid w:val="00093DAB"/>
    <w:rsid w:val="00094D73"/>
    <w:rsid w:val="00096D63"/>
    <w:rsid w:val="000A0A0B"/>
    <w:rsid w:val="000A0B60"/>
    <w:rsid w:val="000A0EB8"/>
    <w:rsid w:val="000A19FC"/>
    <w:rsid w:val="000A296B"/>
    <w:rsid w:val="000A7311"/>
    <w:rsid w:val="000B060F"/>
    <w:rsid w:val="000B1592"/>
    <w:rsid w:val="000B1FF2"/>
    <w:rsid w:val="000B383D"/>
    <w:rsid w:val="000B3CDA"/>
    <w:rsid w:val="000B6A0B"/>
    <w:rsid w:val="000C0F6C"/>
    <w:rsid w:val="000C11DB"/>
    <w:rsid w:val="000C1492"/>
    <w:rsid w:val="000C18B5"/>
    <w:rsid w:val="000C2FBD"/>
    <w:rsid w:val="000C4B41"/>
    <w:rsid w:val="000C57D6"/>
    <w:rsid w:val="000C5E10"/>
    <w:rsid w:val="000C7666"/>
    <w:rsid w:val="000D0A9C"/>
    <w:rsid w:val="000D1747"/>
    <w:rsid w:val="000D1795"/>
    <w:rsid w:val="000D2F41"/>
    <w:rsid w:val="000D329A"/>
    <w:rsid w:val="000D4314"/>
    <w:rsid w:val="000D4B9C"/>
    <w:rsid w:val="000D4EB6"/>
    <w:rsid w:val="000D753B"/>
    <w:rsid w:val="000E296F"/>
    <w:rsid w:val="000E4C9E"/>
    <w:rsid w:val="000E6FD7"/>
    <w:rsid w:val="000F06E1"/>
    <w:rsid w:val="000F0E3C"/>
    <w:rsid w:val="000F19D5"/>
    <w:rsid w:val="000F22E5"/>
    <w:rsid w:val="000F4AC3"/>
    <w:rsid w:val="000F4AEA"/>
    <w:rsid w:val="000F6646"/>
    <w:rsid w:val="000F67E9"/>
    <w:rsid w:val="000F6868"/>
    <w:rsid w:val="0010444E"/>
    <w:rsid w:val="00104926"/>
    <w:rsid w:val="00113B1E"/>
    <w:rsid w:val="0011711C"/>
    <w:rsid w:val="001233AF"/>
    <w:rsid w:val="00124E4F"/>
    <w:rsid w:val="001260B7"/>
    <w:rsid w:val="001265CB"/>
    <w:rsid w:val="001321C6"/>
    <w:rsid w:val="001325C4"/>
    <w:rsid w:val="00133010"/>
    <w:rsid w:val="001338EE"/>
    <w:rsid w:val="00133A68"/>
    <w:rsid w:val="00133AAE"/>
    <w:rsid w:val="00135323"/>
    <w:rsid w:val="001356C4"/>
    <w:rsid w:val="00141114"/>
    <w:rsid w:val="00142969"/>
    <w:rsid w:val="00142E2A"/>
    <w:rsid w:val="001457E7"/>
    <w:rsid w:val="00145D9D"/>
    <w:rsid w:val="00146388"/>
    <w:rsid w:val="001529E5"/>
    <w:rsid w:val="00153C7E"/>
    <w:rsid w:val="001559F1"/>
    <w:rsid w:val="00156B25"/>
    <w:rsid w:val="00156E1A"/>
    <w:rsid w:val="00157B55"/>
    <w:rsid w:val="001618E4"/>
    <w:rsid w:val="001642FA"/>
    <w:rsid w:val="001649EB"/>
    <w:rsid w:val="00164BAF"/>
    <w:rsid w:val="00164FA8"/>
    <w:rsid w:val="00165065"/>
    <w:rsid w:val="00165434"/>
    <w:rsid w:val="0016580B"/>
    <w:rsid w:val="00165F49"/>
    <w:rsid w:val="001667B4"/>
    <w:rsid w:val="00166B88"/>
    <w:rsid w:val="0016770A"/>
    <w:rsid w:val="001702BF"/>
    <w:rsid w:val="001703E9"/>
    <w:rsid w:val="00170804"/>
    <w:rsid w:val="001708E9"/>
    <w:rsid w:val="00170EE6"/>
    <w:rsid w:val="001716C6"/>
    <w:rsid w:val="0017340B"/>
    <w:rsid w:val="00173FB1"/>
    <w:rsid w:val="00174EF4"/>
    <w:rsid w:val="00176DD9"/>
    <w:rsid w:val="00176DFD"/>
    <w:rsid w:val="00180ACD"/>
    <w:rsid w:val="001852C9"/>
    <w:rsid w:val="00190087"/>
    <w:rsid w:val="001913C4"/>
    <w:rsid w:val="0019348F"/>
    <w:rsid w:val="00193A07"/>
    <w:rsid w:val="00194C95"/>
    <w:rsid w:val="00195638"/>
    <w:rsid w:val="00195C34"/>
    <w:rsid w:val="001963F5"/>
    <w:rsid w:val="001A1A53"/>
    <w:rsid w:val="001A234A"/>
    <w:rsid w:val="001A3D09"/>
    <w:rsid w:val="001A46E2"/>
    <w:rsid w:val="001A56D7"/>
    <w:rsid w:val="001A5B56"/>
    <w:rsid w:val="001A7E86"/>
    <w:rsid w:val="001B06E8"/>
    <w:rsid w:val="001B193E"/>
    <w:rsid w:val="001B2075"/>
    <w:rsid w:val="001B4050"/>
    <w:rsid w:val="001B71D0"/>
    <w:rsid w:val="001B71EE"/>
    <w:rsid w:val="001B76B4"/>
    <w:rsid w:val="001C04A8"/>
    <w:rsid w:val="001C0A4B"/>
    <w:rsid w:val="001C2C03"/>
    <w:rsid w:val="001C42F7"/>
    <w:rsid w:val="001C49E5"/>
    <w:rsid w:val="001C5371"/>
    <w:rsid w:val="001C680C"/>
    <w:rsid w:val="001C6DBB"/>
    <w:rsid w:val="001C7FEA"/>
    <w:rsid w:val="001D0499"/>
    <w:rsid w:val="001D0BBE"/>
    <w:rsid w:val="001D0ED4"/>
    <w:rsid w:val="001D0EF6"/>
    <w:rsid w:val="001D212F"/>
    <w:rsid w:val="001D279D"/>
    <w:rsid w:val="001D29D7"/>
    <w:rsid w:val="001D2DE7"/>
    <w:rsid w:val="001D411C"/>
    <w:rsid w:val="001D4B57"/>
    <w:rsid w:val="001E0A24"/>
    <w:rsid w:val="001E0BB1"/>
    <w:rsid w:val="001E1B6A"/>
    <w:rsid w:val="001E2484"/>
    <w:rsid w:val="001E310C"/>
    <w:rsid w:val="001E3CC4"/>
    <w:rsid w:val="001E4882"/>
    <w:rsid w:val="001E73AB"/>
    <w:rsid w:val="001F092D"/>
    <w:rsid w:val="001F143A"/>
    <w:rsid w:val="001F1605"/>
    <w:rsid w:val="001F2508"/>
    <w:rsid w:val="001F4221"/>
    <w:rsid w:val="001F4816"/>
    <w:rsid w:val="001F69B4"/>
    <w:rsid w:val="001F6F93"/>
    <w:rsid w:val="001F77C7"/>
    <w:rsid w:val="00200183"/>
    <w:rsid w:val="00200E4C"/>
    <w:rsid w:val="0020107D"/>
    <w:rsid w:val="00202AA4"/>
    <w:rsid w:val="002031F7"/>
    <w:rsid w:val="002040E6"/>
    <w:rsid w:val="002051D8"/>
    <w:rsid w:val="0020527B"/>
    <w:rsid w:val="002059A4"/>
    <w:rsid w:val="00205A9E"/>
    <w:rsid w:val="00205F2C"/>
    <w:rsid w:val="002106D2"/>
    <w:rsid w:val="00210B15"/>
    <w:rsid w:val="00211F24"/>
    <w:rsid w:val="00213B9A"/>
    <w:rsid w:val="002142EA"/>
    <w:rsid w:val="00217091"/>
    <w:rsid w:val="002204BB"/>
    <w:rsid w:val="00221B79"/>
    <w:rsid w:val="00221C6B"/>
    <w:rsid w:val="00224596"/>
    <w:rsid w:val="002253A1"/>
    <w:rsid w:val="00225CF8"/>
    <w:rsid w:val="0022718D"/>
    <w:rsid w:val="0022794E"/>
    <w:rsid w:val="0023159F"/>
    <w:rsid w:val="00231755"/>
    <w:rsid w:val="00233D64"/>
    <w:rsid w:val="00234784"/>
    <w:rsid w:val="0023482A"/>
    <w:rsid w:val="002359CB"/>
    <w:rsid w:val="00243540"/>
    <w:rsid w:val="0024497B"/>
    <w:rsid w:val="0024515B"/>
    <w:rsid w:val="00246021"/>
    <w:rsid w:val="0024666E"/>
    <w:rsid w:val="002478FC"/>
    <w:rsid w:val="00247F52"/>
    <w:rsid w:val="00250B25"/>
    <w:rsid w:val="00250BBE"/>
    <w:rsid w:val="002515C2"/>
    <w:rsid w:val="0025174E"/>
    <w:rsid w:val="0025194F"/>
    <w:rsid w:val="0025596B"/>
    <w:rsid w:val="00257940"/>
    <w:rsid w:val="00260082"/>
    <w:rsid w:val="0026148A"/>
    <w:rsid w:val="00262696"/>
    <w:rsid w:val="002628D5"/>
    <w:rsid w:val="002634BC"/>
    <w:rsid w:val="002643C3"/>
    <w:rsid w:val="00264A0C"/>
    <w:rsid w:val="00267EF4"/>
    <w:rsid w:val="00270C35"/>
    <w:rsid w:val="00270CB8"/>
    <w:rsid w:val="00272B08"/>
    <w:rsid w:val="00273E1E"/>
    <w:rsid w:val="0027506D"/>
    <w:rsid w:val="00276016"/>
    <w:rsid w:val="002763CE"/>
    <w:rsid w:val="00281BB8"/>
    <w:rsid w:val="00281E9E"/>
    <w:rsid w:val="00283578"/>
    <w:rsid w:val="00285170"/>
    <w:rsid w:val="00285361"/>
    <w:rsid w:val="00292D60"/>
    <w:rsid w:val="00294D34"/>
    <w:rsid w:val="00294E3B"/>
    <w:rsid w:val="00296193"/>
    <w:rsid w:val="00296C66"/>
    <w:rsid w:val="00296EBE"/>
    <w:rsid w:val="002974E3"/>
    <w:rsid w:val="002A0143"/>
    <w:rsid w:val="002A084B"/>
    <w:rsid w:val="002A1260"/>
    <w:rsid w:val="002A1589"/>
    <w:rsid w:val="002A1608"/>
    <w:rsid w:val="002A25DC"/>
    <w:rsid w:val="002A3AAB"/>
    <w:rsid w:val="002A4CEA"/>
    <w:rsid w:val="002A5977"/>
    <w:rsid w:val="002A5A13"/>
    <w:rsid w:val="002A757F"/>
    <w:rsid w:val="002A7F44"/>
    <w:rsid w:val="002B0C40"/>
    <w:rsid w:val="002B1966"/>
    <w:rsid w:val="002B23E3"/>
    <w:rsid w:val="002B4508"/>
    <w:rsid w:val="002B5779"/>
    <w:rsid w:val="002B7332"/>
    <w:rsid w:val="002B7F51"/>
    <w:rsid w:val="002C09E7"/>
    <w:rsid w:val="002C3F07"/>
    <w:rsid w:val="002C5278"/>
    <w:rsid w:val="002C6A77"/>
    <w:rsid w:val="002C7EBB"/>
    <w:rsid w:val="002D06C1"/>
    <w:rsid w:val="002D1F1C"/>
    <w:rsid w:val="002D1FFC"/>
    <w:rsid w:val="002D42B5"/>
    <w:rsid w:val="002D4F1A"/>
    <w:rsid w:val="002D6DA6"/>
    <w:rsid w:val="002D6EC6"/>
    <w:rsid w:val="002D79AC"/>
    <w:rsid w:val="002E0383"/>
    <w:rsid w:val="002E039D"/>
    <w:rsid w:val="002E210F"/>
    <w:rsid w:val="002E4AEA"/>
    <w:rsid w:val="002E4D5A"/>
    <w:rsid w:val="002E6326"/>
    <w:rsid w:val="002E75DF"/>
    <w:rsid w:val="002F128F"/>
    <w:rsid w:val="002F30E0"/>
    <w:rsid w:val="002F35E4"/>
    <w:rsid w:val="002F3730"/>
    <w:rsid w:val="002F38E1"/>
    <w:rsid w:val="002F49ED"/>
    <w:rsid w:val="002F6FDC"/>
    <w:rsid w:val="002F7AF6"/>
    <w:rsid w:val="00300E63"/>
    <w:rsid w:val="00302F5F"/>
    <w:rsid w:val="0030441D"/>
    <w:rsid w:val="00306063"/>
    <w:rsid w:val="003114D4"/>
    <w:rsid w:val="00313B85"/>
    <w:rsid w:val="00313BE9"/>
    <w:rsid w:val="00314643"/>
    <w:rsid w:val="003172D7"/>
    <w:rsid w:val="00317988"/>
    <w:rsid w:val="003221B4"/>
    <w:rsid w:val="00322E62"/>
    <w:rsid w:val="00324EDD"/>
    <w:rsid w:val="003331E4"/>
    <w:rsid w:val="00336C30"/>
    <w:rsid w:val="00336C64"/>
    <w:rsid w:val="00337162"/>
    <w:rsid w:val="00337A70"/>
    <w:rsid w:val="0034194F"/>
    <w:rsid w:val="00342DB8"/>
    <w:rsid w:val="00343A0B"/>
    <w:rsid w:val="00344605"/>
    <w:rsid w:val="003466B9"/>
    <w:rsid w:val="003474AA"/>
    <w:rsid w:val="00350231"/>
    <w:rsid w:val="00350D1D"/>
    <w:rsid w:val="00351901"/>
    <w:rsid w:val="00351E22"/>
    <w:rsid w:val="00352C83"/>
    <w:rsid w:val="003563D5"/>
    <w:rsid w:val="0035723C"/>
    <w:rsid w:val="003615D2"/>
    <w:rsid w:val="0036429C"/>
    <w:rsid w:val="00364A53"/>
    <w:rsid w:val="003654CB"/>
    <w:rsid w:val="00365F86"/>
    <w:rsid w:val="00365F87"/>
    <w:rsid w:val="00366E8E"/>
    <w:rsid w:val="003705F4"/>
    <w:rsid w:val="00370D58"/>
    <w:rsid w:val="00371316"/>
    <w:rsid w:val="00371F47"/>
    <w:rsid w:val="00374079"/>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481F"/>
    <w:rsid w:val="003974EB"/>
    <w:rsid w:val="00397CC5"/>
    <w:rsid w:val="003A1582"/>
    <w:rsid w:val="003A3A93"/>
    <w:rsid w:val="003A3B91"/>
    <w:rsid w:val="003A4077"/>
    <w:rsid w:val="003A5461"/>
    <w:rsid w:val="003A59EF"/>
    <w:rsid w:val="003A67B3"/>
    <w:rsid w:val="003A7006"/>
    <w:rsid w:val="003B09AD"/>
    <w:rsid w:val="003B0BD9"/>
    <w:rsid w:val="003B1F18"/>
    <w:rsid w:val="003B2063"/>
    <w:rsid w:val="003B5BF0"/>
    <w:rsid w:val="003B60BF"/>
    <w:rsid w:val="003B6BE3"/>
    <w:rsid w:val="003B6C8D"/>
    <w:rsid w:val="003C010C"/>
    <w:rsid w:val="003C0A6C"/>
    <w:rsid w:val="003C2859"/>
    <w:rsid w:val="003C5A43"/>
    <w:rsid w:val="003C68DA"/>
    <w:rsid w:val="003C6FDB"/>
    <w:rsid w:val="003D0519"/>
    <w:rsid w:val="003D0FF6"/>
    <w:rsid w:val="003D262C"/>
    <w:rsid w:val="003D4946"/>
    <w:rsid w:val="003D58AD"/>
    <w:rsid w:val="003D6A99"/>
    <w:rsid w:val="003D6D61"/>
    <w:rsid w:val="003E091D"/>
    <w:rsid w:val="003E1C53"/>
    <w:rsid w:val="003E2A69"/>
    <w:rsid w:val="003E2D49"/>
    <w:rsid w:val="003E2FD4"/>
    <w:rsid w:val="003E38BB"/>
    <w:rsid w:val="003E3ED6"/>
    <w:rsid w:val="003E4086"/>
    <w:rsid w:val="003E4958"/>
    <w:rsid w:val="003E49C4"/>
    <w:rsid w:val="003E49F6"/>
    <w:rsid w:val="003E4E65"/>
    <w:rsid w:val="003E56CC"/>
    <w:rsid w:val="003E7692"/>
    <w:rsid w:val="003F0841"/>
    <w:rsid w:val="003F23D3"/>
    <w:rsid w:val="003F3F08"/>
    <w:rsid w:val="003F438B"/>
    <w:rsid w:val="003F47EF"/>
    <w:rsid w:val="003F49F1"/>
    <w:rsid w:val="003F6272"/>
    <w:rsid w:val="003F72A3"/>
    <w:rsid w:val="003F79B0"/>
    <w:rsid w:val="00400E72"/>
    <w:rsid w:val="00401400"/>
    <w:rsid w:val="00402772"/>
    <w:rsid w:val="00404869"/>
    <w:rsid w:val="00405884"/>
    <w:rsid w:val="00407D39"/>
    <w:rsid w:val="0041477A"/>
    <w:rsid w:val="004167A3"/>
    <w:rsid w:val="00420FD6"/>
    <w:rsid w:val="004236AD"/>
    <w:rsid w:val="00425F77"/>
    <w:rsid w:val="00432DAA"/>
    <w:rsid w:val="00434305"/>
    <w:rsid w:val="00435DF7"/>
    <w:rsid w:val="004370E1"/>
    <w:rsid w:val="0044083F"/>
    <w:rsid w:val="00441AE7"/>
    <w:rsid w:val="00445574"/>
    <w:rsid w:val="00445714"/>
    <w:rsid w:val="004467FB"/>
    <w:rsid w:val="0045122D"/>
    <w:rsid w:val="00451D77"/>
    <w:rsid w:val="004526BB"/>
    <w:rsid w:val="00452D6B"/>
    <w:rsid w:val="00454484"/>
    <w:rsid w:val="00454753"/>
    <w:rsid w:val="0045517B"/>
    <w:rsid w:val="004563CD"/>
    <w:rsid w:val="00463B77"/>
    <w:rsid w:val="00463C7B"/>
    <w:rsid w:val="00463F02"/>
    <w:rsid w:val="004644A6"/>
    <w:rsid w:val="0046540B"/>
    <w:rsid w:val="004659BD"/>
    <w:rsid w:val="00467FD0"/>
    <w:rsid w:val="00470775"/>
    <w:rsid w:val="004715BD"/>
    <w:rsid w:val="004746B1"/>
    <w:rsid w:val="0047583F"/>
    <w:rsid w:val="00477EA7"/>
    <w:rsid w:val="0048189F"/>
    <w:rsid w:val="00484936"/>
    <w:rsid w:val="00484B7C"/>
    <w:rsid w:val="00485C89"/>
    <w:rsid w:val="00486445"/>
    <w:rsid w:val="00486BE3"/>
    <w:rsid w:val="00490283"/>
    <w:rsid w:val="004905E4"/>
    <w:rsid w:val="00490A89"/>
    <w:rsid w:val="00490AB4"/>
    <w:rsid w:val="004920D8"/>
    <w:rsid w:val="00492F02"/>
    <w:rsid w:val="004939AE"/>
    <w:rsid w:val="004942C6"/>
    <w:rsid w:val="004972E2"/>
    <w:rsid w:val="00497DDB"/>
    <w:rsid w:val="004A040C"/>
    <w:rsid w:val="004A12DF"/>
    <w:rsid w:val="004A1BA8"/>
    <w:rsid w:val="004A4B57"/>
    <w:rsid w:val="004A4F08"/>
    <w:rsid w:val="004A63FA"/>
    <w:rsid w:val="004A6842"/>
    <w:rsid w:val="004B0272"/>
    <w:rsid w:val="004B0958"/>
    <w:rsid w:val="004B2701"/>
    <w:rsid w:val="004B2E1B"/>
    <w:rsid w:val="004B3E93"/>
    <w:rsid w:val="004B53AF"/>
    <w:rsid w:val="004C0C38"/>
    <w:rsid w:val="004C1FBC"/>
    <w:rsid w:val="004C35B0"/>
    <w:rsid w:val="004C3995"/>
    <w:rsid w:val="004C3F1D"/>
    <w:rsid w:val="004C458D"/>
    <w:rsid w:val="004C4E45"/>
    <w:rsid w:val="004C7556"/>
    <w:rsid w:val="004C7E9D"/>
    <w:rsid w:val="004C7F67"/>
    <w:rsid w:val="004D076D"/>
    <w:rsid w:val="004D0EF1"/>
    <w:rsid w:val="004D189E"/>
    <w:rsid w:val="004D2253"/>
    <w:rsid w:val="004D2318"/>
    <w:rsid w:val="004D4406"/>
    <w:rsid w:val="004D76CE"/>
    <w:rsid w:val="004D7C42"/>
    <w:rsid w:val="004E0465"/>
    <w:rsid w:val="004E127B"/>
    <w:rsid w:val="004E1C0A"/>
    <w:rsid w:val="004E3014"/>
    <w:rsid w:val="004E30C5"/>
    <w:rsid w:val="004E3D72"/>
    <w:rsid w:val="004E4AA5"/>
    <w:rsid w:val="004E4AEE"/>
    <w:rsid w:val="004E59E3"/>
    <w:rsid w:val="004E60E6"/>
    <w:rsid w:val="004E67C0"/>
    <w:rsid w:val="004E6A52"/>
    <w:rsid w:val="004F391A"/>
    <w:rsid w:val="004F3CFB"/>
    <w:rsid w:val="004F46DC"/>
    <w:rsid w:val="004F6456"/>
    <w:rsid w:val="004F6923"/>
    <w:rsid w:val="004F696E"/>
    <w:rsid w:val="004F6C71"/>
    <w:rsid w:val="00500173"/>
    <w:rsid w:val="00501139"/>
    <w:rsid w:val="00501CFA"/>
    <w:rsid w:val="00502991"/>
    <w:rsid w:val="0050363E"/>
    <w:rsid w:val="005039BC"/>
    <w:rsid w:val="005043BB"/>
    <w:rsid w:val="00504A3D"/>
    <w:rsid w:val="00505767"/>
    <w:rsid w:val="00506A4B"/>
    <w:rsid w:val="005073F0"/>
    <w:rsid w:val="00510A7B"/>
    <w:rsid w:val="00512F6E"/>
    <w:rsid w:val="00513038"/>
    <w:rsid w:val="00514174"/>
    <w:rsid w:val="00515F21"/>
    <w:rsid w:val="00516088"/>
    <w:rsid w:val="00516B0B"/>
    <w:rsid w:val="005207F4"/>
    <w:rsid w:val="00521EA4"/>
    <w:rsid w:val="005220EC"/>
    <w:rsid w:val="00523D1F"/>
    <w:rsid w:val="00523F95"/>
    <w:rsid w:val="00524D65"/>
    <w:rsid w:val="00525B16"/>
    <w:rsid w:val="00527A4A"/>
    <w:rsid w:val="005327BD"/>
    <w:rsid w:val="00533D04"/>
    <w:rsid w:val="00534804"/>
    <w:rsid w:val="00534BDF"/>
    <w:rsid w:val="005354EA"/>
    <w:rsid w:val="00535B29"/>
    <w:rsid w:val="00535EC4"/>
    <w:rsid w:val="00535ED9"/>
    <w:rsid w:val="00536100"/>
    <w:rsid w:val="0053692B"/>
    <w:rsid w:val="00540C64"/>
    <w:rsid w:val="00541853"/>
    <w:rsid w:val="00543BDA"/>
    <w:rsid w:val="005441CC"/>
    <w:rsid w:val="005449D4"/>
    <w:rsid w:val="00544DD3"/>
    <w:rsid w:val="005479DA"/>
    <w:rsid w:val="00547BCC"/>
    <w:rsid w:val="0055013B"/>
    <w:rsid w:val="00551F6F"/>
    <w:rsid w:val="00552EAD"/>
    <w:rsid w:val="00554F87"/>
    <w:rsid w:val="00555044"/>
    <w:rsid w:val="005576C5"/>
    <w:rsid w:val="00561475"/>
    <w:rsid w:val="00561E5E"/>
    <w:rsid w:val="005635E7"/>
    <w:rsid w:val="0056487B"/>
    <w:rsid w:val="00564FB9"/>
    <w:rsid w:val="00566B3B"/>
    <w:rsid w:val="00566C7A"/>
    <w:rsid w:val="00571429"/>
    <w:rsid w:val="00573D9E"/>
    <w:rsid w:val="005761AE"/>
    <w:rsid w:val="005801E3"/>
    <w:rsid w:val="00581802"/>
    <w:rsid w:val="005836A8"/>
    <w:rsid w:val="0058409C"/>
    <w:rsid w:val="00584262"/>
    <w:rsid w:val="00584471"/>
    <w:rsid w:val="00586630"/>
    <w:rsid w:val="00587ADD"/>
    <w:rsid w:val="00593544"/>
    <w:rsid w:val="00596160"/>
    <w:rsid w:val="005966E2"/>
    <w:rsid w:val="00597007"/>
    <w:rsid w:val="005A0966"/>
    <w:rsid w:val="005A11B7"/>
    <w:rsid w:val="005A260B"/>
    <w:rsid w:val="005A4A1B"/>
    <w:rsid w:val="005A6460"/>
    <w:rsid w:val="005A7830"/>
    <w:rsid w:val="005A7FCE"/>
    <w:rsid w:val="005B0F3F"/>
    <w:rsid w:val="005B4903"/>
    <w:rsid w:val="005B51CE"/>
    <w:rsid w:val="005B5885"/>
    <w:rsid w:val="005B5CD7"/>
    <w:rsid w:val="005B5CFE"/>
    <w:rsid w:val="005B6C12"/>
    <w:rsid w:val="005B6CF6"/>
    <w:rsid w:val="005B7422"/>
    <w:rsid w:val="005C29B8"/>
    <w:rsid w:val="005C443D"/>
    <w:rsid w:val="005C44F6"/>
    <w:rsid w:val="005C558A"/>
    <w:rsid w:val="005C5F21"/>
    <w:rsid w:val="005C64C1"/>
    <w:rsid w:val="005C7156"/>
    <w:rsid w:val="005D0C75"/>
    <w:rsid w:val="005D11FA"/>
    <w:rsid w:val="005D1E63"/>
    <w:rsid w:val="005D409A"/>
    <w:rsid w:val="005D4171"/>
    <w:rsid w:val="005D4F6F"/>
    <w:rsid w:val="005D52E4"/>
    <w:rsid w:val="005D6A95"/>
    <w:rsid w:val="005D6B2C"/>
    <w:rsid w:val="005D6D9C"/>
    <w:rsid w:val="005E2335"/>
    <w:rsid w:val="005E34CA"/>
    <w:rsid w:val="005E3C18"/>
    <w:rsid w:val="005E6318"/>
    <w:rsid w:val="005E6812"/>
    <w:rsid w:val="005E7829"/>
    <w:rsid w:val="005E7881"/>
    <w:rsid w:val="005E78E0"/>
    <w:rsid w:val="005F0D9C"/>
    <w:rsid w:val="005F2748"/>
    <w:rsid w:val="005F284E"/>
    <w:rsid w:val="005F2BF8"/>
    <w:rsid w:val="005F7E8C"/>
    <w:rsid w:val="00600137"/>
    <w:rsid w:val="006015CE"/>
    <w:rsid w:val="00602A2C"/>
    <w:rsid w:val="006031DF"/>
    <w:rsid w:val="00604784"/>
    <w:rsid w:val="006058FF"/>
    <w:rsid w:val="00606419"/>
    <w:rsid w:val="00607D29"/>
    <w:rsid w:val="00611467"/>
    <w:rsid w:val="006123C2"/>
    <w:rsid w:val="00612952"/>
    <w:rsid w:val="00614CC1"/>
    <w:rsid w:val="00615A9D"/>
    <w:rsid w:val="00617387"/>
    <w:rsid w:val="00621C5F"/>
    <w:rsid w:val="006252D8"/>
    <w:rsid w:val="006259BC"/>
    <w:rsid w:val="00625D33"/>
    <w:rsid w:val="0062636B"/>
    <w:rsid w:val="00632182"/>
    <w:rsid w:val="006325A7"/>
    <w:rsid w:val="00632AE0"/>
    <w:rsid w:val="00633C17"/>
    <w:rsid w:val="00636E3E"/>
    <w:rsid w:val="006379F7"/>
    <w:rsid w:val="00637E4D"/>
    <w:rsid w:val="006403E2"/>
    <w:rsid w:val="00640620"/>
    <w:rsid w:val="00641A1F"/>
    <w:rsid w:val="0064288E"/>
    <w:rsid w:val="00643393"/>
    <w:rsid w:val="006438CF"/>
    <w:rsid w:val="00643D3D"/>
    <w:rsid w:val="006447E0"/>
    <w:rsid w:val="00644E03"/>
    <w:rsid w:val="0064528D"/>
    <w:rsid w:val="00645904"/>
    <w:rsid w:val="00651ACB"/>
    <w:rsid w:val="00651C47"/>
    <w:rsid w:val="00652AB2"/>
    <w:rsid w:val="00653669"/>
    <w:rsid w:val="00654968"/>
    <w:rsid w:val="00654EC0"/>
    <w:rsid w:val="0065525B"/>
    <w:rsid w:val="00655D4F"/>
    <w:rsid w:val="0066315F"/>
    <w:rsid w:val="006640E5"/>
    <w:rsid w:val="006646F1"/>
    <w:rsid w:val="00664929"/>
    <w:rsid w:val="00664F62"/>
    <w:rsid w:val="006655E1"/>
    <w:rsid w:val="0066755F"/>
    <w:rsid w:val="00671AC5"/>
    <w:rsid w:val="00672060"/>
    <w:rsid w:val="00672BFD"/>
    <w:rsid w:val="0067408C"/>
    <w:rsid w:val="006770F4"/>
    <w:rsid w:val="00677A84"/>
    <w:rsid w:val="0068026D"/>
    <w:rsid w:val="00680A27"/>
    <w:rsid w:val="006816A4"/>
    <w:rsid w:val="006819B8"/>
    <w:rsid w:val="00681AE8"/>
    <w:rsid w:val="00681D07"/>
    <w:rsid w:val="006840A6"/>
    <w:rsid w:val="006850CD"/>
    <w:rsid w:val="00685AAB"/>
    <w:rsid w:val="00685DA5"/>
    <w:rsid w:val="00686CDB"/>
    <w:rsid w:val="00692570"/>
    <w:rsid w:val="00693D27"/>
    <w:rsid w:val="00697D7D"/>
    <w:rsid w:val="006A07AA"/>
    <w:rsid w:val="006A25E5"/>
    <w:rsid w:val="006A2B46"/>
    <w:rsid w:val="006A336D"/>
    <w:rsid w:val="006A37B9"/>
    <w:rsid w:val="006B0B87"/>
    <w:rsid w:val="006B2672"/>
    <w:rsid w:val="006B3AE9"/>
    <w:rsid w:val="006B54BF"/>
    <w:rsid w:val="006B5F44"/>
    <w:rsid w:val="006B5F90"/>
    <w:rsid w:val="006B62E4"/>
    <w:rsid w:val="006B63EC"/>
    <w:rsid w:val="006B6652"/>
    <w:rsid w:val="006B7562"/>
    <w:rsid w:val="006B7AFD"/>
    <w:rsid w:val="006B7D42"/>
    <w:rsid w:val="006C0B4F"/>
    <w:rsid w:val="006C1BBA"/>
    <w:rsid w:val="006C2079"/>
    <w:rsid w:val="006C317D"/>
    <w:rsid w:val="006C3473"/>
    <w:rsid w:val="006C4614"/>
    <w:rsid w:val="006C5A62"/>
    <w:rsid w:val="006C5B4E"/>
    <w:rsid w:val="006C5D68"/>
    <w:rsid w:val="006C6976"/>
    <w:rsid w:val="006C6DD0"/>
    <w:rsid w:val="006D04EA"/>
    <w:rsid w:val="006D16C4"/>
    <w:rsid w:val="006D3E96"/>
    <w:rsid w:val="006D4515"/>
    <w:rsid w:val="006D4BB1"/>
    <w:rsid w:val="006D5893"/>
    <w:rsid w:val="006D6593"/>
    <w:rsid w:val="006D686E"/>
    <w:rsid w:val="006E1F17"/>
    <w:rsid w:val="006E25C1"/>
    <w:rsid w:val="006E26B8"/>
    <w:rsid w:val="006E7EE9"/>
    <w:rsid w:val="006F03A8"/>
    <w:rsid w:val="006F0DA0"/>
    <w:rsid w:val="006F126C"/>
    <w:rsid w:val="006F14A4"/>
    <w:rsid w:val="006F2ACA"/>
    <w:rsid w:val="006F2ADC"/>
    <w:rsid w:val="006F2BFE"/>
    <w:rsid w:val="006F31E9"/>
    <w:rsid w:val="006F56E5"/>
    <w:rsid w:val="006F6284"/>
    <w:rsid w:val="006F6EAF"/>
    <w:rsid w:val="006F7A60"/>
    <w:rsid w:val="007002C5"/>
    <w:rsid w:val="007007C0"/>
    <w:rsid w:val="0070348B"/>
    <w:rsid w:val="00704387"/>
    <w:rsid w:val="0070524F"/>
    <w:rsid w:val="00705EF9"/>
    <w:rsid w:val="00706DFF"/>
    <w:rsid w:val="00707669"/>
    <w:rsid w:val="00711CBA"/>
    <w:rsid w:val="00711FB5"/>
    <w:rsid w:val="00712A01"/>
    <w:rsid w:val="00714F58"/>
    <w:rsid w:val="00721A6F"/>
    <w:rsid w:val="00722FBF"/>
    <w:rsid w:val="00722FC2"/>
    <w:rsid w:val="007244E7"/>
    <w:rsid w:val="00724882"/>
    <w:rsid w:val="00725949"/>
    <w:rsid w:val="00726F9B"/>
    <w:rsid w:val="00727FA2"/>
    <w:rsid w:val="0073141D"/>
    <w:rsid w:val="00731CF4"/>
    <w:rsid w:val="007322D9"/>
    <w:rsid w:val="0073289E"/>
    <w:rsid w:val="00732BC0"/>
    <w:rsid w:val="00732F4E"/>
    <w:rsid w:val="0073700A"/>
    <w:rsid w:val="0073720F"/>
    <w:rsid w:val="00737796"/>
    <w:rsid w:val="0074165C"/>
    <w:rsid w:val="00742C35"/>
    <w:rsid w:val="007432CA"/>
    <w:rsid w:val="007439EB"/>
    <w:rsid w:val="00743CB4"/>
    <w:rsid w:val="00743F0A"/>
    <w:rsid w:val="007444E8"/>
    <w:rsid w:val="00744633"/>
    <w:rsid w:val="0074548E"/>
    <w:rsid w:val="00745773"/>
    <w:rsid w:val="00746800"/>
    <w:rsid w:val="007468CD"/>
    <w:rsid w:val="00746DA7"/>
    <w:rsid w:val="00747CF0"/>
    <w:rsid w:val="007501A8"/>
    <w:rsid w:val="00750EE1"/>
    <w:rsid w:val="007510FA"/>
    <w:rsid w:val="00752B4D"/>
    <w:rsid w:val="00752FAC"/>
    <w:rsid w:val="00755402"/>
    <w:rsid w:val="00756B26"/>
    <w:rsid w:val="00756EDF"/>
    <w:rsid w:val="00765C43"/>
    <w:rsid w:val="00765EFB"/>
    <w:rsid w:val="00766F01"/>
    <w:rsid w:val="007671CA"/>
    <w:rsid w:val="0076744F"/>
    <w:rsid w:val="00767C61"/>
    <w:rsid w:val="0077008A"/>
    <w:rsid w:val="00773C1F"/>
    <w:rsid w:val="00773F68"/>
    <w:rsid w:val="00774DA4"/>
    <w:rsid w:val="00775A16"/>
    <w:rsid w:val="00776599"/>
    <w:rsid w:val="0078114B"/>
    <w:rsid w:val="007811ED"/>
    <w:rsid w:val="00781DD2"/>
    <w:rsid w:val="00783ECF"/>
    <w:rsid w:val="0078413A"/>
    <w:rsid w:val="007843F6"/>
    <w:rsid w:val="00792180"/>
    <w:rsid w:val="007959A7"/>
    <w:rsid w:val="007959E8"/>
    <w:rsid w:val="00795E9C"/>
    <w:rsid w:val="00796EA8"/>
    <w:rsid w:val="007A0521"/>
    <w:rsid w:val="007A2E12"/>
    <w:rsid w:val="007A3475"/>
    <w:rsid w:val="007A41C8"/>
    <w:rsid w:val="007A54CE"/>
    <w:rsid w:val="007A6FD9"/>
    <w:rsid w:val="007A7FFA"/>
    <w:rsid w:val="007B04EB"/>
    <w:rsid w:val="007B0D4F"/>
    <w:rsid w:val="007B2CD6"/>
    <w:rsid w:val="007B56A0"/>
    <w:rsid w:val="007B5A3D"/>
    <w:rsid w:val="007B5B95"/>
    <w:rsid w:val="007B5C33"/>
    <w:rsid w:val="007B68EA"/>
    <w:rsid w:val="007B7453"/>
    <w:rsid w:val="007C0F61"/>
    <w:rsid w:val="007C2D89"/>
    <w:rsid w:val="007C4593"/>
    <w:rsid w:val="007C5309"/>
    <w:rsid w:val="007C6069"/>
    <w:rsid w:val="007D06C4"/>
    <w:rsid w:val="007D1352"/>
    <w:rsid w:val="007D2508"/>
    <w:rsid w:val="007D346A"/>
    <w:rsid w:val="007D6518"/>
    <w:rsid w:val="007D76BD"/>
    <w:rsid w:val="007E04DD"/>
    <w:rsid w:val="007E0B52"/>
    <w:rsid w:val="007E0BF1"/>
    <w:rsid w:val="007E0D02"/>
    <w:rsid w:val="007E155D"/>
    <w:rsid w:val="007E258B"/>
    <w:rsid w:val="007F00CF"/>
    <w:rsid w:val="007F0ED8"/>
    <w:rsid w:val="007F0F63"/>
    <w:rsid w:val="007F3748"/>
    <w:rsid w:val="007F403F"/>
    <w:rsid w:val="007F52D3"/>
    <w:rsid w:val="007F644E"/>
    <w:rsid w:val="007F6B9C"/>
    <w:rsid w:val="007F75CE"/>
    <w:rsid w:val="007F7DE1"/>
    <w:rsid w:val="008012E1"/>
    <w:rsid w:val="008013A4"/>
    <w:rsid w:val="008027CE"/>
    <w:rsid w:val="00802F42"/>
    <w:rsid w:val="0080308B"/>
    <w:rsid w:val="00803783"/>
    <w:rsid w:val="00804383"/>
    <w:rsid w:val="00804BB7"/>
    <w:rsid w:val="00806B31"/>
    <w:rsid w:val="00810257"/>
    <w:rsid w:val="008104F5"/>
    <w:rsid w:val="0081074F"/>
    <w:rsid w:val="00811072"/>
    <w:rsid w:val="00811369"/>
    <w:rsid w:val="00812434"/>
    <w:rsid w:val="00815419"/>
    <w:rsid w:val="008163C8"/>
    <w:rsid w:val="008164A1"/>
    <w:rsid w:val="008172E2"/>
    <w:rsid w:val="00817325"/>
    <w:rsid w:val="008209E6"/>
    <w:rsid w:val="008227DA"/>
    <w:rsid w:val="00823303"/>
    <w:rsid w:val="008233B2"/>
    <w:rsid w:val="00823A9F"/>
    <w:rsid w:val="00823AEB"/>
    <w:rsid w:val="00823C85"/>
    <w:rsid w:val="00825138"/>
    <w:rsid w:val="00825BB7"/>
    <w:rsid w:val="008269DD"/>
    <w:rsid w:val="00830621"/>
    <w:rsid w:val="00833122"/>
    <w:rsid w:val="0083348C"/>
    <w:rsid w:val="00833F62"/>
    <w:rsid w:val="00835288"/>
    <w:rsid w:val="00835B63"/>
    <w:rsid w:val="008373D3"/>
    <w:rsid w:val="008376B7"/>
    <w:rsid w:val="008401FD"/>
    <w:rsid w:val="00840617"/>
    <w:rsid w:val="0084064E"/>
    <w:rsid w:val="00842A47"/>
    <w:rsid w:val="00843C13"/>
    <w:rsid w:val="008454F8"/>
    <w:rsid w:val="0085173A"/>
    <w:rsid w:val="00854343"/>
    <w:rsid w:val="0085670D"/>
    <w:rsid w:val="008570A2"/>
    <w:rsid w:val="00860297"/>
    <w:rsid w:val="008603CE"/>
    <w:rsid w:val="008620FC"/>
    <w:rsid w:val="008627A5"/>
    <w:rsid w:val="00863072"/>
    <w:rsid w:val="008635C3"/>
    <w:rsid w:val="00863E05"/>
    <w:rsid w:val="0086431E"/>
    <w:rsid w:val="00865ACA"/>
    <w:rsid w:val="00865D28"/>
    <w:rsid w:val="00865F85"/>
    <w:rsid w:val="00867A47"/>
    <w:rsid w:val="00867C10"/>
    <w:rsid w:val="00870439"/>
    <w:rsid w:val="00870DA1"/>
    <w:rsid w:val="00871B95"/>
    <w:rsid w:val="00873D4B"/>
    <w:rsid w:val="008758A2"/>
    <w:rsid w:val="00875923"/>
    <w:rsid w:val="00880284"/>
    <w:rsid w:val="00883F93"/>
    <w:rsid w:val="00884DB3"/>
    <w:rsid w:val="0088568C"/>
    <w:rsid w:val="00885A9D"/>
    <w:rsid w:val="008864F6"/>
    <w:rsid w:val="0089049D"/>
    <w:rsid w:val="008928C9"/>
    <w:rsid w:val="008938DC"/>
    <w:rsid w:val="00893FD1"/>
    <w:rsid w:val="0089406D"/>
    <w:rsid w:val="00894836"/>
    <w:rsid w:val="00895172"/>
    <w:rsid w:val="00895680"/>
    <w:rsid w:val="00896DFF"/>
    <w:rsid w:val="0089762C"/>
    <w:rsid w:val="008A0DDD"/>
    <w:rsid w:val="008A1893"/>
    <w:rsid w:val="008A769A"/>
    <w:rsid w:val="008B0412"/>
    <w:rsid w:val="008B0C9C"/>
    <w:rsid w:val="008B0F8A"/>
    <w:rsid w:val="008B166D"/>
    <w:rsid w:val="008B17F4"/>
    <w:rsid w:val="008B3615"/>
    <w:rsid w:val="008B44B3"/>
    <w:rsid w:val="008B4AC4"/>
    <w:rsid w:val="008B50C8"/>
    <w:rsid w:val="008B5281"/>
    <w:rsid w:val="008B538D"/>
    <w:rsid w:val="008B7E05"/>
    <w:rsid w:val="008C0BCB"/>
    <w:rsid w:val="008C1797"/>
    <w:rsid w:val="008C219C"/>
    <w:rsid w:val="008C475E"/>
    <w:rsid w:val="008C4767"/>
    <w:rsid w:val="008C619A"/>
    <w:rsid w:val="008C6250"/>
    <w:rsid w:val="008D0CE8"/>
    <w:rsid w:val="008D2D1D"/>
    <w:rsid w:val="008D453D"/>
    <w:rsid w:val="008D4660"/>
    <w:rsid w:val="008D53AD"/>
    <w:rsid w:val="008D562B"/>
    <w:rsid w:val="008D5733"/>
    <w:rsid w:val="008D622B"/>
    <w:rsid w:val="008D666C"/>
    <w:rsid w:val="008D7B54"/>
    <w:rsid w:val="008E0C9D"/>
    <w:rsid w:val="008E1648"/>
    <w:rsid w:val="008E1AC9"/>
    <w:rsid w:val="008E1B3E"/>
    <w:rsid w:val="008E2319"/>
    <w:rsid w:val="008E4BB6"/>
    <w:rsid w:val="008E5518"/>
    <w:rsid w:val="008E6A84"/>
    <w:rsid w:val="008E7D2C"/>
    <w:rsid w:val="008F0CDC"/>
    <w:rsid w:val="008F0F8C"/>
    <w:rsid w:val="008F169C"/>
    <w:rsid w:val="008F17A3"/>
    <w:rsid w:val="008F1ED3"/>
    <w:rsid w:val="008F21A3"/>
    <w:rsid w:val="008F4C29"/>
    <w:rsid w:val="008F58DC"/>
    <w:rsid w:val="008F70BD"/>
    <w:rsid w:val="008F788F"/>
    <w:rsid w:val="008F7EA2"/>
    <w:rsid w:val="00900DA9"/>
    <w:rsid w:val="00902722"/>
    <w:rsid w:val="009027BC"/>
    <w:rsid w:val="009062E6"/>
    <w:rsid w:val="00911AF6"/>
    <w:rsid w:val="00911BE5"/>
    <w:rsid w:val="00913CA9"/>
    <w:rsid w:val="009145AE"/>
    <w:rsid w:val="009146CE"/>
    <w:rsid w:val="00914CA7"/>
    <w:rsid w:val="00915C3E"/>
    <w:rsid w:val="009161A8"/>
    <w:rsid w:val="009213F7"/>
    <w:rsid w:val="00923211"/>
    <w:rsid w:val="00923770"/>
    <w:rsid w:val="00923823"/>
    <w:rsid w:val="009245F5"/>
    <w:rsid w:val="009249EC"/>
    <w:rsid w:val="009273B3"/>
    <w:rsid w:val="009305B5"/>
    <w:rsid w:val="00940777"/>
    <w:rsid w:val="00941FA3"/>
    <w:rsid w:val="009429D5"/>
    <w:rsid w:val="00942BF1"/>
    <w:rsid w:val="00945180"/>
    <w:rsid w:val="00945428"/>
    <w:rsid w:val="0094607B"/>
    <w:rsid w:val="00953604"/>
    <w:rsid w:val="0095496B"/>
    <w:rsid w:val="00954FA7"/>
    <w:rsid w:val="009610DC"/>
    <w:rsid w:val="00961490"/>
    <w:rsid w:val="00962D0E"/>
    <w:rsid w:val="0096381A"/>
    <w:rsid w:val="0096458C"/>
    <w:rsid w:val="00965E04"/>
    <w:rsid w:val="009674AD"/>
    <w:rsid w:val="00967CE8"/>
    <w:rsid w:val="00970CDC"/>
    <w:rsid w:val="0097153A"/>
    <w:rsid w:val="00971BA8"/>
    <w:rsid w:val="00974471"/>
    <w:rsid w:val="00974EA7"/>
    <w:rsid w:val="00977010"/>
    <w:rsid w:val="00977D02"/>
    <w:rsid w:val="009809BB"/>
    <w:rsid w:val="00980B1A"/>
    <w:rsid w:val="0098364B"/>
    <w:rsid w:val="00986BCB"/>
    <w:rsid w:val="00991070"/>
    <w:rsid w:val="009911AF"/>
    <w:rsid w:val="00991875"/>
    <w:rsid w:val="00991DC1"/>
    <w:rsid w:val="00991F92"/>
    <w:rsid w:val="00992985"/>
    <w:rsid w:val="00993889"/>
    <w:rsid w:val="00994782"/>
    <w:rsid w:val="0099551B"/>
    <w:rsid w:val="00997BF1"/>
    <w:rsid w:val="009A089C"/>
    <w:rsid w:val="009A118E"/>
    <w:rsid w:val="009A21CD"/>
    <w:rsid w:val="009A278C"/>
    <w:rsid w:val="009A2BC2"/>
    <w:rsid w:val="009A2CD5"/>
    <w:rsid w:val="009A4217"/>
    <w:rsid w:val="009A42C1"/>
    <w:rsid w:val="009A4537"/>
    <w:rsid w:val="009A5429"/>
    <w:rsid w:val="009A591F"/>
    <w:rsid w:val="009A72AD"/>
    <w:rsid w:val="009B09E0"/>
    <w:rsid w:val="009B0BC5"/>
    <w:rsid w:val="009B1247"/>
    <w:rsid w:val="009B6029"/>
    <w:rsid w:val="009B6464"/>
    <w:rsid w:val="009B6971"/>
    <w:rsid w:val="009B70AC"/>
    <w:rsid w:val="009B78D6"/>
    <w:rsid w:val="009C27F1"/>
    <w:rsid w:val="009C3152"/>
    <w:rsid w:val="009C4CFA"/>
    <w:rsid w:val="009C5070"/>
    <w:rsid w:val="009C784B"/>
    <w:rsid w:val="009D0781"/>
    <w:rsid w:val="009D112C"/>
    <w:rsid w:val="009D47FA"/>
    <w:rsid w:val="009D50D2"/>
    <w:rsid w:val="009D6AF0"/>
    <w:rsid w:val="009D6BCA"/>
    <w:rsid w:val="009D72B9"/>
    <w:rsid w:val="009E0088"/>
    <w:rsid w:val="009E0A89"/>
    <w:rsid w:val="009E0F62"/>
    <w:rsid w:val="009E17CD"/>
    <w:rsid w:val="009E1848"/>
    <w:rsid w:val="009E202C"/>
    <w:rsid w:val="009E3DCE"/>
    <w:rsid w:val="009E4A58"/>
    <w:rsid w:val="009E5A2D"/>
    <w:rsid w:val="009E5AB2"/>
    <w:rsid w:val="009E6219"/>
    <w:rsid w:val="009E6C98"/>
    <w:rsid w:val="009F03B3"/>
    <w:rsid w:val="00A01757"/>
    <w:rsid w:val="00A028C0"/>
    <w:rsid w:val="00A02BAE"/>
    <w:rsid w:val="00A02F39"/>
    <w:rsid w:val="00A030B5"/>
    <w:rsid w:val="00A05A77"/>
    <w:rsid w:val="00A05AA6"/>
    <w:rsid w:val="00A06A6B"/>
    <w:rsid w:val="00A07E47"/>
    <w:rsid w:val="00A129D0"/>
    <w:rsid w:val="00A12C33"/>
    <w:rsid w:val="00A138BA"/>
    <w:rsid w:val="00A14099"/>
    <w:rsid w:val="00A14C8E"/>
    <w:rsid w:val="00A153D9"/>
    <w:rsid w:val="00A15F09"/>
    <w:rsid w:val="00A167A1"/>
    <w:rsid w:val="00A169B6"/>
    <w:rsid w:val="00A16D54"/>
    <w:rsid w:val="00A21D4E"/>
    <w:rsid w:val="00A2271D"/>
    <w:rsid w:val="00A237D5"/>
    <w:rsid w:val="00A24594"/>
    <w:rsid w:val="00A249D1"/>
    <w:rsid w:val="00A30EFC"/>
    <w:rsid w:val="00A31984"/>
    <w:rsid w:val="00A31CEC"/>
    <w:rsid w:val="00A32D73"/>
    <w:rsid w:val="00A33589"/>
    <w:rsid w:val="00A3367B"/>
    <w:rsid w:val="00A33F35"/>
    <w:rsid w:val="00A3597D"/>
    <w:rsid w:val="00A364F3"/>
    <w:rsid w:val="00A366E0"/>
    <w:rsid w:val="00A3689B"/>
    <w:rsid w:val="00A37B4F"/>
    <w:rsid w:val="00A4006C"/>
    <w:rsid w:val="00A40091"/>
    <w:rsid w:val="00A4030F"/>
    <w:rsid w:val="00A41374"/>
    <w:rsid w:val="00A41C79"/>
    <w:rsid w:val="00A41CB5"/>
    <w:rsid w:val="00A41DDB"/>
    <w:rsid w:val="00A42CDF"/>
    <w:rsid w:val="00A4307B"/>
    <w:rsid w:val="00A4452E"/>
    <w:rsid w:val="00A4472C"/>
    <w:rsid w:val="00A44E69"/>
    <w:rsid w:val="00A45F6D"/>
    <w:rsid w:val="00A4661E"/>
    <w:rsid w:val="00A51961"/>
    <w:rsid w:val="00A53DF0"/>
    <w:rsid w:val="00A55BD6"/>
    <w:rsid w:val="00A55D50"/>
    <w:rsid w:val="00A57142"/>
    <w:rsid w:val="00A61D48"/>
    <w:rsid w:val="00A648CD"/>
    <w:rsid w:val="00A64C31"/>
    <w:rsid w:val="00A6537A"/>
    <w:rsid w:val="00A6613B"/>
    <w:rsid w:val="00A668E4"/>
    <w:rsid w:val="00A67866"/>
    <w:rsid w:val="00A70B07"/>
    <w:rsid w:val="00A723F8"/>
    <w:rsid w:val="00A7541B"/>
    <w:rsid w:val="00A75BD4"/>
    <w:rsid w:val="00A77CCB"/>
    <w:rsid w:val="00A8253A"/>
    <w:rsid w:val="00A826DC"/>
    <w:rsid w:val="00A83D8D"/>
    <w:rsid w:val="00A83E19"/>
    <w:rsid w:val="00A8446B"/>
    <w:rsid w:val="00A8473F"/>
    <w:rsid w:val="00A851C5"/>
    <w:rsid w:val="00A862D6"/>
    <w:rsid w:val="00A8715E"/>
    <w:rsid w:val="00A87647"/>
    <w:rsid w:val="00A92618"/>
    <w:rsid w:val="00A9295B"/>
    <w:rsid w:val="00A93B09"/>
    <w:rsid w:val="00A952D7"/>
    <w:rsid w:val="00A963F7"/>
    <w:rsid w:val="00A96AD8"/>
    <w:rsid w:val="00AA052C"/>
    <w:rsid w:val="00AA0D1B"/>
    <w:rsid w:val="00AA1E45"/>
    <w:rsid w:val="00AA2FB7"/>
    <w:rsid w:val="00AA30E6"/>
    <w:rsid w:val="00AA3C1F"/>
    <w:rsid w:val="00AA4286"/>
    <w:rsid w:val="00AA456B"/>
    <w:rsid w:val="00AA546B"/>
    <w:rsid w:val="00AA57F5"/>
    <w:rsid w:val="00AA672E"/>
    <w:rsid w:val="00AA6EC9"/>
    <w:rsid w:val="00AB6309"/>
    <w:rsid w:val="00AB6C5F"/>
    <w:rsid w:val="00AB7129"/>
    <w:rsid w:val="00AC27A6"/>
    <w:rsid w:val="00AC30F7"/>
    <w:rsid w:val="00AC3A5A"/>
    <w:rsid w:val="00AC4D95"/>
    <w:rsid w:val="00AC5DF4"/>
    <w:rsid w:val="00AD0869"/>
    <w:rsid w:val="00AD0AEF"/>
    <w:rsid w:val="00AD11B7"/>
    <w:rsid w:val="00AD1A94"/>
    <w:rsid w:val="00AD1C05"/>
    <w:rsid w:val="00AD21D2"/>
    <w:rsid w:val="00AD4126"/>
    <w:rsid w:val="00AD421C"/>
    <w:rsid w:val="00AD44FA"/>
    <w:rsid w:val="00AD5D89"/>
    <w:rsid w:val="00AE070A"/>
    <w:rsid w:val="00AE101C"/>
    <w:rsid w:val="00AE1C9C"/>
    <w:rsid w:val="00AE232F"/>
    <w:rsid w:val="00AE457A"/>
    <w:rsid w:val="00AE5EB4"/>
    <w:rsid w:val="00AF0C18"/>
    <w:rsid w:val="00AF3F2F"/>
    <w:rsid w:val="00AF47C5"/>
    <w:rsid w:val="00AF5398"/>
    <w:rsid w:val="00AF6DBA"/>
    <w:rsid w:val="00B049AF"/>
    <w:rsid w:val="00B0619B"/>
    <w:rsid w:val="00B07242"/>
    <w:rsid w:val="00B10534"/>
    <w:rsid w:val="00B113DB"/>
    <w:rsid w:val="00B11D8A"/>
    <w:rsid w:val="00B1219F"/>
    <w:rsid w:val="00B12981"/>
    <w:rsid w:val="00B147DD"/>
    <w:rsid w:val="00B156FD"/>
    <w:rsid w:val="00B166D4"/>
    <w:rsid w:val="00B16BFC"/>
    <w:rsid w:val="00B17538"/>
    <w:rsid w:val="00B17D57"/>
    <w:rsid w:val="00B21F61"/>
    <w:rsid w:val="00B22E79"/>
    <w:rsid w:val="00B2361B"/>
    <w:rsid w:val="00B23A9A"/>
    <w:rsid w:val="00B24A85"/>
    <w:rsid w:val="00B261F1"/>
    <w:rsid w:val="00B265BC"/>
    <w:rsid w:val="00B30EA7"/>
    <w:rsid w:val="00B31160"/>
    <w:rsid w:val="00B31DA9"/>
    <w:rsid w:val="00B31FB1"/>
    <w:rsid w:val="00B32DAC"/>
    <w:rsid w:val="00B33952"/>
    <w:rsid w:val="00B33C5E"/>
    <w:rsid w:val="00B342F4"/>
    <w:rsid w:val="00B34369"/>
    <w:rsid w:val="00B34DC2"/>
    <w:rsid w:val="00B378E5"/>
    <w:rsid w:val="00B42A5C"/>
    <w:rsid w:val="00B4346D"/>
    <w:rsid w:val="00B440F4"/>
    <w:rsid w:val="00B44432"/>
    <w:rsid w:val="00B447A5"/>
    <w:rsid w:val="00B46423"/>
    <w:rsid w:val="00B4654C"/>
    <w:rsid w:val="00B46B3E"/>
    <w:rsid w:val="00B47293"/>
    <w:rsid w:val="00B477A5"/>
    <w:rsid w:val="00B50552"/>
    <w:rsid w:val="00B50E50"/>
    <w:rsid w:val="00B512BF"/>
    <w:rsid w:val="00B52120"/>
    <w:rsid w:val="00B54ABC"/>
    <w:rsid w:val="00B56FBE"/>
    <w:rsid w:val="00B60BD9"/>
    <w:rsid w:val="00B60BF0"/>
    <w:rsid w:val="00B60DFF"/>
    <w:rsid w:val="00B618ED"/>
    <w:rsid w:val="00B62B58"/>
    <w:rsid w:val="00B64468"/>
    <w:rsid w:val="00B6458F"/>
    <w:rsid w:val="00B65149"/>
    <w:rsid w:val="00B66567"/>
    <w:rsid w:val="00B66F52"/>
    <w:rsid w:val="00B66FE5"/>
    <w:rsid w:val="00B71688"/>
    <w:rsid w:val="00B72880"/>
    <w:rsid w:val="00B73739"/>
    <w:rsid w:val="00B7385B"/>
    <w:rsid w:val="00B758BF"/>
    <w:rsid w:val="00B76574"/>
    <w:rsid w:val="00B827A6"/>
    <w:rsid w:val="00B831CE"/>
    <w:rsid w:val="00B84F42"/>
    <w:rsid w:val="00B86677"/>
    <w:rsid w:val="00B87131"/>
    <w:rsid w:val="00B902F7"/>
    <w:rsid w:val="00B9249C"/>
    <w:rsid w:val="00B939B1"/>
    <w:rsid w:val="00B96D40"/>
    <w:rsid w:val="00B97386"/>
    <w:rsid w:val="00B978DB"/>
    <w:rsid w:val="00BA263B"/>
    <w:rsid w:val="00BA42B2"/>
    <w:rsid w:val="00BA561C"/>
    <w:rsid w:val="00BA58D4"/>
    <w:rsid w:val="00BA5B9E"/>
    <w:rsid w:val="00BA5FC4"/>
    <w:rsid w:val="00BA637A"/>
    <w:rsid w:val="00BA7C9A"/>
    <w:rsid w:val="00BB5F8F"/>
    <w:rsid w:val="00BB657A"/>
    <w:rsid w:val="00BC18D2"/>
    <w:rsid w:val="00BC1A4E"/>
    <w:rsid w:val="00BC39C8"/>
    <w:rsid w:val="00BC4EDC"/>
    <w:rsid w:val="00BC5DC7"/>
    <w:rsid w:val="00BC61CE"/>
    <w:rsid w:val="00BC6B41"/>
    <w:rsid w:val="00BC6B8B"/>
    <w:rsid w:val="00BC73D8"/>
    <w:rsid w:val="00BD13D4"/>
    <w:rsid w:val="00BD371B"/>
    <w:rsid w:val="00BD52D7"/>
    <w:rsid w:val="00BD5AD2"/>
    <w:rsid w:val="00BE22F3"/>
    <w:rsid w:val="00BE5B52"/>
    <w:rsid w:val="00BE70C0"/>
    <w:rsid w:val="00BE7B8D"/>
    <w:rsid w:val="00BF0993"/>
    <w:rsid w:val="00BF10A9"/>
    <w:rsid w:val="00BF1703"/>
    <w:rsid w:val="00BF231C"/>
    <w:rsid w:val="00BF3C6E"/>
    <w:rsid w:val="00BF51E5"/>
    <w:rsid w:val="00BF70C9"/>
    <w:rsid w:val="00BF74A6"/>
    <w:rsid w:val="00BF7718"/>
    <w:rsid w:val="00C013AD"/>
    <w:rsid w:val="00C020FB"/>
    <w:rsid w:val="00C03180"/>
    <w:rsid w:val="00C04904"/>
    <w:rsid w:val="00C04B94"/>
    <w:rsid w:val="00C056B3"/>
    <w:rsid w:val="00C058FF"/>
    <w:rsid w:val="00C06DB1"/>
    <w:rsid w:val="00C103E5"/>
    <w:rsid w:val="00C10F4E"/>
    <w:rsid w:val="00C11D73"/>
    <w:rsid w:val="00C13319"/>
    <w:rsid w:val="00C13EE9"/>
    <w:rsid w:val="00C14319"/>
    <w:rsid w:val="00C151B8"/>
    <w:rsid w:val="00C21540"/>
    <w:rsid w:val="00C21906"/>
    <w:rsid w:val="00C21BFA"/>
    <w:rsid w:val="00C22AD7"/>
    <w:rsid w:val="00C24C8D"/>
    <w:rsid w:val="00C25FE2"/>
    <w:rsid w:val="00C260F4"/>
    <w:rsid w:val="00C2652C"/>
    <w:rsid w:val="00C26B53"/>
    <w:rsid w:val="00C279B2"/>
    <w:rsid w:val="00C30882"/>
    <w:rsid w:val="00C32F87"/>
    <w:rsid w:val="00C33839"/>
    <w:rsid w:val="00C33E50"/>
    <w:rsid w:val="00C34C20"/>
    <w:rsid w:val="00C35A3E"/>
    <w:rsid w:val="00C3762C"/>
    <w:rsid w:val="00C42130"/>
    <w:rsid w:val="00C4228F"/>
    <w:rsid w:val="00C423A4"/>
    <w:rsid w:val="00C44A61"/>
    <w:rsid w:val="00C44BF5"/>
    <w:rsid w:val="00C450CD"/>
    <w:rsid w:val="00C521D6"/>
    <w:rsid w:val="00C55232"/>
    <w:rsid w:val="00C553A4"/>
    <w:rsid w:val="00C55A06"/>
    <w:rsid w:val="00C55D03"/>
    <w:rsid w:val="00C601BC"/>
    <w:rsid w:val="00C607ED"/>
    <w:rsid w:val="00C6329F"/>
    <w:rsid w:val="00C63340"/>
    <w:rsid w:val="00C643F9"/>
    <w:rsid w:val="00C64E95"/>
    <w:rsid w:val="00C71026"/>
    <w:rsid w:val="00C711AF"/>
    <w:rsid w:val="00C711C1"/>
    <w:rsid w:val="00C71372"/>
    <w:rsid w:val="00C72410"/>
    <w:rsid w:val="00C7287F"/>
    <w:rsid w:val="00C77218"/>
    <w:rsid w:val="00C773B0"/>
    <w:rsid w:val="00C77F2A"/>
    <w:rsid w:val="00C80CB8"/>
    <w:rsid w:val="00C819F8"/>
    <w:rsid w:val="00C8248C"/>
    <w:rsid w:val="00C84E33"/>
    <w:rsid w:val="00C86D6F"/>
    <w:rsid w:val="00C905FC"/>
    <w:rsid w:val="00C91204"/>
    <w:rsid w:val="00C92D03"/>
    <w:rsid w:val="00C9319C"/>
    <w:rsid w:val="00C9435D"/>
    <w:rsid w:val="00C9497E"/>
    <w:rsid w:val="00C96741"/>
    <w:rsid w:val="00CA2D1B"/>
    <w:rsid w:val="00CA662A"/>
    <w:rsid w:val="00CA7AFD"/>
    <w:rsid w:val="00CA7C3C"/>
    <w:rsid w:val="00CA7CAF"/>
    <w:rsid w:val="00CB0189"/>
    <w:rsid w:val="00CB0BA2"/>
    <w:rsid w:val="00CB0DC7"/>
    <w:rsid w:val="00CB1A42"/>
    <w:rsid w:val="00CB1B0C"/>
    <w:rsid w:val="00CB2C0B"/>
    <w:rsid w:val="00CB517D"/>
    <w:rsid w:val="00CC038D"/>
    <w:rsid w:val="00CC2A07"/>
    <w:rsid w:val="00CC39FF"/>
    <w:rsid w:val="00CC3B9E"/>
    <w:rsid w:val="00CC3C2F"/>
    <w:rsid w:val="00CC4AA5"/>
    <w:rsid w:val="00CC4AC8"/>
    <w:rsid w:val="00CC5233"/>
    <w:rsid w:val="00CC5DE6"/>
    <w:rsid w:val="00CC6E4E"/>
    <w:rsid w:val="00CC6FE8"/>
    <w:rsid w:val="00CC7202"/>
    <w:rsid w:val="00CD2808"/>
    <w:rsid w:val="00CD28BF"/>
    <w:rsid w:val="00CD4092"/>
    <w:rsid w:val="00CD4A20"/>
    <w:rsid w:val="00CD50A1"/>
    <w:rsid w:val="00CD519E"/>
    <w:rsid w:val="00CD5601"/>
    <w:rsid w:val="00CD5EEF"/>
    <w:rsid w:val="00CE0C4F"/>
    <w:rsid w:val="00CE1759"/>
    <w:rsid w:val="00CE2400"/>
    <w:rsid w:val="00CE30EA"/>
    <w:rsid w:val="00CE6016"/>
    <w:rsid w:val="00CE759D"/>
    <w:rsid w:val="00CF048A"/>
    <w:rsid w:val="00CF155A"/>
    <w:rsid w:val="00CF2947"/>
    <w:rsid w:val="00CF4E76"/>
    <w:rsid w:val="00CF686F"/>
    <w:rsid w:val="00CF6E60"/>
    <w:rsid w:val="00CF7BCA"/>
    <w:rsid w:val="00D008FD"/>
    <w:rsid w:val="00D01DC5"/>
    <w:rsid w:val="00D0321C"/>
    <w:rsid w:val="00D035EC"/>
    <w:rsid w:val="00D03698"/>
    <w:rsid w:val="00D06A22"/>
    <w:rsid w:val="00D06AB1"/>
    <w:rsid w:val="00D072ED"/>
    <w:rsid w:val="00D07A16"/>
    <w:rsid w:val="00D1067E"/>
    <w:rsid w:val="00D10F50"/>
    <w:rsid w:val="00D11272"/>
    <w:rsid w:val="00D11CFA"/>
    <w:rsid w:val="00D126F5"/>
    <w:rsid w:val="00D131A2"/>
    <w:rsid w:val="00D1489E"/>
    <w:rsid w:val="00D20737"/>
    <w:rsid w:val="00D21E81"/>
    <w:rsid w:val="00D223DE"/>
    <w:rsid w:val="00D238D0"/>
    <w:rsid w:val="00D25E37"/>
    <w:rsid w:val="00D2661A"/>
    <w:rsid w:val="00D26920"/>
    <w:rsid w:val="00D27582"/>
    <w:rsid w:val="00D277F3"/>
    <w:rsid w:val="00D309A4"/>
    <w:rsid w:val="00D31255"/>
    <w:rsid w:val="00D32719"/>
    <w:rsid w:val="00D33333"/>
    <w:rsid w:val="00D34CB7"/>
    <w:rsid w:val="00D352A2"/>
    <w:rsid w:val="00D374DA"/>
    <w:rsid w:val="00D40DFC"/>
    <w:rsid w:val="00D4162B"/>
    <w:rsid w:val="00D41B47"/>
    <w:rsid w:val="00D44304"/>
    <w:rsid w:val="00D4514F"/>
    <w:rsid w:val="00D451E2"/>
    <w:rsid w:val="00D45E89"/>
    <w:rsid w:val="00D45E8D"/>
    <w:rsid w:val="00D466AE"/>
    <w:rsid w:val="00D4734F"/>
    <w:rsid w:val="00D51BF3"/>
    <w:rsid w:val="00D54B98"/>
    <w:rsid w:val="00D56D85"/>
    <w:rsid w:val="00D66846"/>
    <w:rsid w:val="00D671CC"/>
    <w:rsid w:val="00D675FB"/>
    <w:rsid w:val="00D67FCD"/>
    <w:rsid w:val="00D71BFB"/>
    <w:rsid w:val="00D71C58"/>
    <w:rsid w:val="00D71F25"/>
    <w:rsid w:val="00D729BF"/>
    <w:rsid w:val="00D7358C"/>
    <w:rsid w:val="00D76C5D"/>
    <w:rsid w:val="00D77031"/>
    <w:rsid w:val="00D7752E"/>
    <w:rsid w:val="00D80778"/>
    <w:rsid w:val="00D80C0C"/>
    <w:rsid w:val="00D81136"/>
    <w:rsid w:val="00D84941"/>
    <w:rsid w:val="00D84FA1"/>
    <w:rsid w:val="00D851F0"/>
    <w:rsid w:val="00D86DB7"/>
    <w:rsid w:val="00D87E7A"/>
    <w:rsid w:val="00D9060C"/>
    <w:rsid w:val="00D9164A"/>
    <w:rsid w:val="00D916C0"/>
    <w:rsid w:val="00D926D0"/>
    <w:rsid w:val="00D92E13"/>
    <w:rsid w:val="00D93030"/>
    <w:rsid w:val="00D94172"/>
    <w:rsid w:val="00D9470D"/>
    <w:rsid w:val="00D950E1"/>
    <w:rsid w:val="00D95142"/>
    <w:rsid w:val="00D952A6"/>
    <w:rsid w:val="00D97F99"/>
    <w:rsid w:val="00DA1E08"/>
    <w:rsid w:val="00DA24F8"/>
    <w:rsid w:val="00DA28E8"/>
    <w:rsid w:val="00DA38D3"/>
    <w:rsid w:val="00DA3932"/>
    <w:rsid w:val="00DA3AFC"/>
    <w:rsid w:val="00DA64F8"/>
    <w:rsid w:val="00DA6C15"/>
    <w:rsid w:val="00DB1441"/>
    <w:rsid w:val="00DB2375"/>
    <w:rsid w:val="00DB38EE"/>
    <w:rsid w:val="00DB3A45"/>
    <w:rsid w:val="00DB498B"/>
    <w:rsid w:val="00DB66CA"/>
    <w:rsid w:val="00DB6BCA"/>
    <w:rsid w:val="00DB7113"/>
    <w:rsid w:val="00DC0321"/>
    <w:rsid w:val="00DC0BB4"/>
    <w:rsid w:val="00DC3067"/>
    <w:rsid w:val="00DC370B"/>
    <w:rsid w:val="00DC394F"/>
    <w:rsid w:val="00DC458E"/>
    <w:rsid w:val="00DC5B90"/>
    <w:rsid w:val="00DD00FF"/>
    <w:rsid w:val="00DD0619"/>
    <w:rsid w:val="00DD07FB"/>
    <w:rsid w:val="00DD25C6"/>
    <w:rsid w:val="00DD4FE5"/>
    <w:rsid w:val="00DD54B0"/>
    <w:rsid w:val="00DD57EE"/>
    <w:rsid w:val="00DD6711"/>
    <w:rsid w:val="00DD6845"/>
    <w:rsid w:val="00DD6BCC"/>
    <w:rsid w:val="00DE0A4B"/>
    <w:rsid w:val="00DE2410"/>
    <w:rsid w:val="00DE2939"/>
    <w:rsid w:val="00DE29BF"/>
    <w:rsid w:val="00DE2F1D"/>
    <w:rsid w:val="00DE6776"/>
    <w:rsid w:val="00DE6E81"/>
    <w:rsid w:val="00DE703F"/>
    <w:rsid w:val="00DE7595"/>
    <w:rsid w:val="00DE79A5"/>
    <w:rsid w:val="00DF1961"/>
    <w:rsid w:val="00DF44DE"/>
    <w:rsid w:val="00DF4A10"/>
    <w:rsid w:val="00DF6BAA"/>
    <w:rsid w:val="00DF7C33"/>
    <w:rsid w:val="00E01138"/>
    <w:rsid w:val="00E02DFB"/>
    <w:rsid w:val="00E030F9"/>
    <w:rsid w:val="00E0311A"/>
    <w:rsid w:val="00E03138"/>
    <w:rsid w:val="00E06404"/>
    <w:rsid w:val="00E11A85"/>
    <w:rsid w:val="00E12495"/>
    <w:rsid w:val="00E14C83"/>
    <w:rsid w:val="00E154D5"/>
    <w:rsid w:val="00E15CCD"/>
    <w:rsid w:val="00E15D9E"/>
    <w:rsid w:val="00E1666A"/>
    <w:rsid w:val="00E17027"/>
    <w:rsid w:val="00E202EF"/>
    <w:rsid w:val="00E210B5"/>
    <w:rsid w:val="00E22103"/>
    <w:rsid w:val="00E22105"/>
    <w:rsid w:val="00E2415B"/>
    <w:rsid w:val="00E24F35"/>
    <w:rsid w:val="00E254EB"/>
    <w:rsid w:val="00E2552F"/>
    <w:rsid w:val="00E26085"/>
    <w:rsid w:val="00E304C4"/>
    <w:rsid w:val="00E3137A"/>
    <w:rsid w:val="00E32213"/>
    <w:rsid w:val="00E32CCF"/>
    <w:rsid w:val="00E33542"/>
    <w:rsid w:val="00E33E5A"/>
    <w:rsid w:val="00E34A98"/>
    <w:rsid w:val="00E35D1E"/>
    <w:rsid w:val="00E364F9"/>
    <w:rsid w:val="00E365FA"/>
    <w:rsid w:val="00E36789"/>
    <w:rsid w:val="00E40A41"/>
    <w:rsid w:val="00E423C3"/>
    <w:rsid w:val="00E44A83"/>
    <w:rsid w:val="00E46FBB"/>
    <w:rsid w:val="00E502C1"/>
    <w:rsid w:val="00E502DD"/>
    <w:rsid w:val="00E50D3A"/>
    <w:rsid w:val="00E51387"/>
    <w:rsid w:val="00E51E68"/>
    <w:rsid w:val="00E52EFD"/>
    <w:rsid w:val="00E5311B"/>
    <w:rsid w:val="00E53486"/>
    <w:rsid w:val="00E5408A"/>
    <w:rsid w:val="00E56800"/>
    <w:rsid w:val="00E62FF9"/>
    <w:rsid w:val="00E635D6"/>
    <w:rsid w:val="00E639BC"/>
    <w:rsid w:val="00E664CC"/>
    <w:rsid w:val="00E700A4"/>
    <w:rsid w:val="00E70388"/>
    <w:rsid w:val="00E70B15"/>
    <w:rsid w:val="00E70F92"/>
    <w:rsid w:val="00E74C54"/>
    <w:rsid w:val="00E77A03"/>
    <w:rsid w:val="00E822E8"/>
    <w:rsid w:val="00E82554"/>
    <w:rsid w:val="00E82606"/>
    <w:rsid w:val="00E846C8"/>
    <w:rsid w:val="00E84957"/>
    <w:rsid w:val="00E84A55"/>
    <w:rsid w:val="00E85BFF"/>
    <w:rsid w:val="00E87054"/>
    <w:rsid w:val="00E90391"/>
    <w:rsid w:val="00E906C2"/>
    <w:rsid w:val="00E9070B"/>
    <w:rsid w:val="00E9311F"/>
    <w:rsid w:val="00E93410"/>
    <w:rsid w:val="00E934D1"/>
    <w:rsid w:val="00E94AF0"/>
    <w:rsid w:val="00E95D13"/>
    <w:rsid w:val="00E95DD3"/>
    <w:rsid w:val="00E969D5"/>
    <w:rsid w:val="00E975E4"/>
    <w:rsid w:val="00EA3703"/>
    <w:rsid w:val="00EA58D1"/>
    <w:rsid w:val="00EA61BC"/>
    <w:rsid w:val="00EA666C"/>
    <w:rsid w:val="00EA681A"/>
    <w:rsid w:val="00EA6915"/>
    <w:rsid w:val="00EA735B"/>
    <w:rsid w:val="00EB1BDC"/>
    <w:rsid w:val="00EB1E69"/>
    <w:rsid w:val="00EB2086"/>
    <w:rsid w:val="00EB2ACA"/>
    <w:rsid w:val="00EB2E18"/>
    <w:rsid w:val="00EB45F5"/>
    <w:rsid w:val="00EB5EDF"/>
    <w:rsid w:val="00EB60FE"/>
    <w:rsid w:val="00EB74DB"/>
    <w:rsid w:val="00EC5359"/>
    <w:rsid w:val="00EC562A"/>
    <w:rsid w:val="00ED067A"/>
    <w:rsid w:val="00ED1C10"/>
    <w:rsid w:val="00ED2B50"/>
    <w:rsid w:val="00ED6062"/>
    <w:rsid w:val="00EE0097"/>
    <w:rsid w:val="00EE0350"/>
    <w:rsid w:val="00EE0719"/>
    <w:rsid w:val="00EE0E80"/>
    <w:rsid w:val="00EE2FC3"/>
    <w:rsid w:val="00EE4DEC"/>
    <w:rsid w:val="00EE613F"/>
    <w:rsid w:val="00EE7295"/>
    <w:rsid w:val="00EE7869"/>
    <w:rsid w:val="00EE7BD9"/>
    <w:rsid w:val="00EF054A"/>
    <w:rsid w:val="00EF3235"/>
    <w:rsid w:val="00EF48AC"/>
    <w:rsid w:val="00EF7E72"/>
    <w:rsid w:val="00F01542"/>
    <w:rsid w:val="00F0389B"/>
    <w:rsid w:val="00F057FC"/>
    <w:rsid w:val="00F06A7C"/>
    <w:rsid w:val="00F06D37"/>
    <w:rsid w:val="00F078B0"/>
    <w:rsid w:val="00F07B9D"/>
    <w:rsid w:val="00F07DA3"/>
    <w:rsid w:val="00F10926"/>
    <w:rsid w:val="00F11586"/>
    <w:rsid w:val="00F1183B"/>
    <w:rsid w:val="00F11C9F"/>
    <w:rsid w:val="00F12263"/>
    <w:rsid w:val="00F125EA"/>
    <w:rsid w:val="00F1409D"/>
    <w:rsid w:val="00F14214"/>
    <w:rsid w:val="00F153A7"/>
    <w:rsid w:val="00F157A9"/>
    <w:rsid w:val="00F22ECC"/>
    <w:rsid w:val="00F2387C"/>
    <w:rsid w:val="00F25BB6"/>
    <w:rsid w:val="00F25E77"/>
    <w:rsid w:val="00F262D2"/>
    <w:rsid w:val="00F269FA"/>
    <w:rsid w:val="00F26B7E"/>
    <w:rsid w:val="00F27A3B"/>
    <w:rsid w:val="00F32821"/>
    <w:rsid w:val="00F33817"/>
    <w:rsid w:val="00F33E8B"/>
    <w:rsid w:val="00F3447F"/>
    <w:rsid w:val="00F34E6A"/>
    <w:rsid w:val="00F35B34"/>
    <w:rsid w:val="00F40AA7"/>
    <w:rsid w:val="00F420D5"/>
    <w:rsid w:val="00F42EA6"/>
    <w:rsid w:val="00F439EE"/>
    <w:rsid w:val="00F451EA"/>
    <w:rsid w:val="00F45447"/>
    <w:rsid w:val="00F456AD"/>
    <w:rsid w:val="00F456C6"/>
    <w:rsid w:val="00F4577B"/>
    <w:rsid w:val="00F46496"/>
    <w:rsid w:val="00F474D0"/>
    <w:rsid w:val="00F50179"/>
    <w:rsid w:val="00F54BD7"/>
    <w:rsid w:val="00F56511"/>
    <w:rsid w:val="00F6052E"/>
    <w:rsid w:val="00F615C4"/>
    <w:rsid w:val="00F6194E"/>
    <w:rsid w:val="00F623AC"/>
    <w:rsid w:val="00F6412A"/>
    <w:rsid w:val="00F64DBD"/>
    <w:rsid w:val="00F65893"/>
    <w:rsid w:val="00F66A4A"/>
    <w:rsid w:val="00F71E22"/>
    <w:rsid w:val="00F72142"/>
    <w:rsid w:val="00F724E6"/>
    <w:rsid w:val="00F72AE7"/>
    <w:rsid w:val="00F739D3"/>
    <w:rsid w:val="00F73D7D"/>
    <w:rsid w:val="00F76142"/>
    <w:rsid w:val="00F766C0"/>
    <w:rsid w:val="00F76DCB"/>
    <w:rsid w:val="00F77D98"/>
    <w:rsid w:val="00F8028D"/>
    <w:rsid w:val="00F833BA"/>
    <w:rsid w:val="00F84FD0"/>
    <w:rsid w:val="00F859A8"/>
    <w:rsid w:val="00F870D2"/>
    <w:rsid w:val="00F9108B"/>
    <w:rsid w:val="00F91349"/>
    <w:rsid w:val="00F93390"/>
    <w:rsid w:val="00F93A8A"/>
    <w:rsid w:val="00F95248"/>
    <w:rsid w:val="00F956A9"/>
    <w:rsid w:val="00F9621E"/>
    <w:rsid w:val="00F962DC"/>
    <w:rsid w:val="00F963ED"/>
    <w:rsid w:val="00F966CF"/>
    <w:rsid w:val="00F96CAE"/>
    <w:rsid w:val="00F97C99"/>
    <w:rsid w:val="00FA3FF4"/>
    <w:rsid w:val="00FA662D"/>
    <w:rsid w:val="00FA6730"/>
    <w:rsid w:val="00FA73B1"/>
    <w:rsid w:val="00FB0CB9"/>
    <w:rsid w:val="00FB1EB3"/>
    <w:rsid w:val="00FB200D"/>
    <w:rsid w:val="00FB45F1"/>
    <w:rsid w:val="00FB4A72"/>
    <w:rsid w:val="00FB51D9"/>
    <w:rsid w:val="00FB54E8"/>
    <w:rsid w:val="00FB604F"/>
    <w:rsid w:val="00FB7054"/>
    <w:rsid w:val="00FC17B7"/>
    <w:rsid w:val="00FC1A59"/>
    <w:rsid w:val="00FC2000"/>
    <w:rsid w:val="00FC2079"/>
    <w:rsid w:val="00FC2231"/>
    <w:rsid w:val="00FC2A3D"/>
    <w:rsid w:val="00FC2CB7"/>
    <w:rsid w:val="00FC2FDD"/>
    <w:rsid w:val="00FC4090"/>
    <w:rsid w:val="00FC55B4"/>
    <w:rsid w:val="00FD00E6"/>
    <w:rsid w:val="00FD09A1"/>
    <w:rsid w:val="00FD1109"/>
    <w:rsid w:val="00FD2A7C"/>
    <w:rsid w:val="00FD59EB"/>
    <w:rsid w:val="00FD7299"/>
    <w:rsid w:val="00FE1FBE"/>
    <w:rsid w:val="00FE3901"/>
    <w:rsid w:val="00FE39D3"/>
    <w:rsid w:val="00FE4BCE"/>
    <w:rsid w:val="00FE5159"/>
    <w:rsid w:val="00FE532A"/>
    <w:rsid w:val="00FE54AE"/>
    <w:rsid w:val="00FE576A"/>
    <w:rsid w:val="00FE5AE4"/>
    <w:rsid w:val="00FE5C84"/>
    <w:rsid w:val="00FE6164"/>
    <w:rsid w:val="00FE72CF"/>
    <w:rsid w:val="00FE7E79"/>
    <w:rsid w:val="00FF2260"/>
    <w:rsid w:val="00FF2F34"/>
    <w:rsid w:val="00FF3BAB"/>
    <w:rsid w:val="00FF3E7D"/>
    <w:rsid w:val="00FF52C0"/>
    <w:rsid w:val="00FF5B99"/>
    <w:rsid w:val="00FF66CB"/>
    <w:rsid w:val="00FF7067"/>
    <w:rsid w:val="00FF730C"/>
    <w:rsid w:val="00FF73C4"/>
    <w:rsid w:val="00FF73F4"/>
    <w:rsid w:val="00FF7CE4"/>
    <w:rsid w:val="00FF7E39"/>
    <w:rsid w:val="02441F1E"/>
    <w:rsid w:val="04EE5CCC"/>
    <w:rsid w:val="05B67BEF"/>
    <w:rsid w:val="066C37F1"/>
    <w:rsid w:val="06C83B4C"/>
    <w:rsid w:val="07AF1BE8"/>
    <w:rsid w:val="0A051F93"/>
    <w:rsid w:val="0C6775BD"/>
    <w:rsid w:val="0E5E4367"/>
    <w:rsid w:val="0F05607B"/>
    <w:rsid w:val="104B26C9"/>
    <w:rsid w:val="12CC7AF2"/>
    <w:rsid w:val="14D529A5"/>
    <w:rsid w:val="150443FD"/>
    <w:rsid w:val="16270FFB"/>
    <w:rsid w:val="164417F2"/>
    <w:rsid w:val="17936E30"/>
    <w:rsid w:val="17A32DEB"/>
    <w:rsid w:val="190A53DF"/>
    <w:rsid w:val="19915C4A"/>
    <w:rsid w:val="1B632FBD"/>
    <w:rsid w:val="208C1EAE"/>
    <w:rsid w:val="21F92BE9"/>
    <w:rsid w:val="22B0340C"/>
    <w:rsid w:val="23B115F5"/>
    <w:rsid w:val="27167136"/>
    <w:rsid w:val="27433CA3"/>
    <w:rsid w:val="275F4121"/>
    <w:rsid w:val="27B626C7"/>
    <w:rsid w:val="290A2CCA"/>
    <w:rsid w:val="2A0F5E0A"/>
    <w:rsid w:val="2A1D7C1B"/>
    <w:rsid w:val="2C550700"/>
    <w:rsid w:val="2CC94C4A"/>
    <w:rsid w:val="2E7E4664"/>
    <w:rsid w:val="31DD1F87"/>
    <w:rsid w:val="32B37F2E"/>
    <w:rsid w:val="32C86926"/>
    <w:rsid w:val="35F406D0"/>
    <w:rsid w:val="39AB7BB1"/>
    <w:rsid w:val="39E906DA"/>
    <w:rsid w:val="3DC56D68"/>
    <w:rsid w:val="3E6F38A3"/>
    <w:rsid w:val="3FDB2873"/>
    <w:rsid w:val="41E81277"/>
    <w:rsid w:val="42584E34"/>
    <w:rsid w:val="465A2CF7"/>
    <w:rsid w:val="47B57E4D"/>
    <w:rsid w:val="495E44BA"/>
    <w:rsid w:val="4EC76DE4"/>
    <w:rsid w:val="526B3F2A"/>
    <w:rsid w:val="541F321E"/>
    <w:rsid w:val="56861332"/>
    <w:rsid w:val="58006EC2"/>
    <w:rsid w:val="582E57DE"/>
    <w:rsid w:val="617F2EE1"/>
    <w:rsid w:val="61E741EB"/>
    <w:rsid w:val="6200602F"/>
    <w:rsid w:val="638536B6"/>
    <w:rsid w:val="66AF21DF"/>
    <w:rsid w:val="6A3D627A"/>
    <w:rsid w:val="6CE801F9"/>
    <w:rsid w:val="6E2A33A1"/>
    <w:rsid w:val="6E66587A"/>
    <w:rsid w:val="7214383E"/>
    <w:rsid w:val="740E7355"/>
    <w:rsid w:val="748F1AFC"/>
    <w:rsid w:val="74B562A2"/>
    <w:rsid w:val="77CA50CB"/>
    <w:rsid w:val="78056103"/>
    <w:rsid w:val="785901FD"/>
    <w:rsid w:val="79C8563A"/>
    <w:rsid w:val="79FA77BE"/>
    <w:rsid w:val="7E5971A9"/>
    <w:rsid w:val="7F15031C"/>
    <w:rsid w:val="7F783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4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2"/>
    <w:qFormat/>
    <w:uiPriority w:val="0"/>
    <w:pPr>
      <w:keepNext/>
      <w:keepLines/>
      <w:spacing w:before="260" w:after="260" w:line="416" w:lineRule="auto"/>
      <w:outlineLvl w:val="2"/>
    </w:pPr>
    <w:rPr>
      <w:b/>
      <w:bCs/>
      <w:sz w:val="32"/>
      <w:szCs w:val="32"/>
    </w:rPr>
  </w:style>
  <w:style w:type="paragraph" w:styleId="5">
    <w:name w:val="heading 4"/>
    <w:basedOn w:val="1"/>
    <w:next w:val="1"/>
    <w:link w:val="43"/>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4"/>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5"/>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6"/>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7"/>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8"/>
    <w:qFormat/>
    <w:uiPriority w:val="0"/>
    <w:pPr>
      <w:keepNext/>
      <w:keepLines/>
      <w:adjustRightInd/>
      <w:spacing w:before="240" w:after="64" w:line="320" w:lineRule="auto"/>
      <w:outlineLvl w:val="8"/>
    </w:pPr>
    <w:rPr>
      <w:rFonts w:ascii="Arial" w:hAnsi="Arial" w:eastAsia="黑体"/>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42"/>
    <w:unhideWhenUsed/>
    <w:qFormat/>
    <w:uiPriority w:val="99"/>
    <w:pPr>
      <w:jc w:val="left"/>
    </w:pPr>
  </w:style>
  <w:style w:type="paragraph" w:styleId="14">
    <w:name w:val="Body Text"/>
    <w:basedOn w:val="1"/>
    <w:link w:val="92"/>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toc 8"/>
    <w:basedOn w:val="1"/>
    <w:next w:val="1"/>
    <w:autoRedefine/>
    <w:unhideWhenUsed/>
    <w:qFormat/>
    <w:uiPriority w:val="39"/>
    <w:pPr>
      <w:adjustRightInd/>
      <w:spacing w:after="160" w:line="278" w:lineRule="auto"/>
      <w:ind w:left="2940" w:leftChars="1400"/>
      <w:jc w:val="left"/>
    </w:pPr>
    <w:rPr>
      <w:rFonts w:asciiTheme="minorHAnsi" w:hAnsiTheme="minorHAnsi" w:eastAsiaTheme="minorEastAsia" w:cstheme="minorBidi"/>
      <w:sz w:val="22"/>
      <w:szCs w:val="24"/>
      <w14:ligatures w14:val="standardContextual"/>
    </w:rPr>
  </w:style>
  <w:style w:type="paragraph" w:styleId="18">
    <w:name w:val="Balloon Text"/>
    <w:basedOn w:val="1"/>
    <w:link w:val="51"/>
    <w:semiHidden/>
    <w:unhideWhenUsed/>
    <w:qFormat/>
    <w:uiPriority w:val="99"/>
    <w:rPr>
      <w:sz w:val="18"/>
      <w:szCs w:val="18"/>
    </w:rPr>
  </w:style>
  <w:style w:type="paragraph" w:styleId="19">
    <w:name w:val="footer"/>
    <w:basedOn w:val="1"/>
    <w:link w:val="50"/>
    <w:qFormat/>
    <w:uiPriority w:val="99"/>
    <w:pPr>
      <w:tabs>
        <w:tab w:val="center" w:pos="4153"/>
        <w:tab w:val="right" w:pos="8306"/>
      </w:tabs>
      <w:adjustRightInd/>
      <w:snapToGrid w:val="0"/>
      <w:spacing w:line="240" w:lineRule="auto"/>
      <w:jc w:val="right"/>
    </w:pPr>
    <w:rPr>
      <w:rFonts w:ascii="宋体"/>
      <w:sz w:val="18"/>
      <w:szCs w:val="18"/>
    </w:rPr>
  </w:style>
  <w:style w:type="paragraph" w:styleId="20">
    <w:name w:val="header"/>
    <w:basedOn w:val="1"/>
    <w:link w:val="49"/>
    <w:qFormat/>
    <w:uiPriority w:val="99"/>
    <w:pPr>
      <w:tabs>
        <w:tab w:val="center" w:pos="4153"/>
        <w:tab w:val="right" w:pos="8306"/>
      </w:tabs>
      <w:adjustRightInd/>
      <w:snapToGrid w:val="0"/>
      <w:jc w:val="center"/>
    </w:pPr>
    <w:rPr>
      <w:sz w:val="18"/>
      <w:szCs w:val="18"/>
    </w:rPr>
  </w:style>
  <w:style w:type="paragraph" w:styleId="21">
    <w:name w:val="toc 1"/>
    <w:basedOn w:val="1"/>
    <w:next w:val="1"/>
    <w:autoRedefine/>
    <w:unhideWhenUsed/>
    <w:qFormat/>
    <w:uiPriority w:val="39"/>
    <w:rPr>
      <w:rFonts w:ascii="宋体"/>
    </w:rPr>
  </w:style>
  <w:style w:type="paragraph" w:styleId="22">
    <w:name w:val="toc 4"/>
    <w:basedOn w:val="1"/>
    <w:next w:val="1"/>
    <w:autoRedefine/>
    <w:unhideWhenUsed/>
    <w:qFormat/>
    <w:uiPriority w:val="39"/>
    <w:pPr>
      <w:tabs>
        <w:tab w:val="right" w:leader="dot" w:pos="9344"/>
      </w:tabs>
      <w:spacing w:line="300" w:lineRule="exact"/>
      <w:ind w:left="629"/>
    </w:pPr>
    <w:rPr>
      <w:rFonts w:ascii="宋体"/>
    </w:rPr>
  </w:style>
  <w:style w:type="paragraph" w:styleId="23">
    <w:name w:val="footnote text"/>
    <w:basedOn w:val="1"/>
    <w:next w:val="1"/>
    <w:link w:val="105"/>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4">
    <w:name w:val="toc 6"/>
    <w:basedOn w:val="1"/>
    <w:next w:val="1"/>
    <w:autoRedefine/>
    <w:unhideWhenUsed/>
    <w:qFormat/>
    <w:uiPriority w:val="39"/>
    <w:pPr>
      <w:spacing w:line="300" w:lineRule="exact"/>
      <w:ind w:left="1049"/>
    </w:pPr>
    <w:rPr>
      <w:rFonts w:ascii="宋体"/>
    </w:rPr>
  </w:style>
  <w:style w:type="paragraph" w:styleId="25">
    <w:name w:val="table of figures"/>
    <w:basedOn w:val="1"/>
    <w:next w:val="1"/>
    <w:semiHidden/>
    <w:qFormat/>
    <w:uiPriority w:val="0"/>
    <w:pPr>
      <w:adjustRightInd/>
      <w:spacing w:line="240" w:lineRule="auto"/>
      <w:jc w:val="left"/>
    </w:pPr>
    <w:rPr>
      <w:szCs w:val="24"/>
    </w:rPr>
  </w:style>
  <w:style w:type="paragraph" w:styleId="26">
    <w:name w:val="toc 2"/>
    <w:basedOn w:val="1"/>
    <w:next w:val="1"/>
    <w:autoRedefine/>
    <w:unhideWhenUsed/>
    <w:qFormat/>
    <w:uiPriority w:val="39"/>
    <w:pPr>
      <w:tabs>
        <w:tab w:val="right" w:leader="dot" w:pos="9344"/>
      </w:tabs>
      <w:spacing w:line="300" w:lineRule="exact"/>
      <w:ind w:left="210"/>
    </w:pPr>
    <w:rPr>
      <w:rFonts w:ascii="宋体"/>
    </w:rPr>
  </w:style>
  <w:style w:type="paragraph" w:styleId="27">
    <w:name w:val="toc 9"/>
    <w:basedOn w:val="1"/>
    <w:next w:val="1"/>
    <w:autoRedefine/>
    <w:unhideWhenUsed/>
    <w:qFormat/>
    <w:uiPriority w:val="39"/>
    <w:pPr>
      <w:adjustRightInd/>
      <w:spacing w:after="160" w:line="278" w:lineRule="auto"/>
      <w:ind w:left="3360" w:leftChars="1600"/>
      <w:jc w:val="left"/>
    </w:pPr>
    <w:rPr>
      <w:rFonts w:asciiTheme="minorHAnsi" w:hAnsiTheme="minorHAnsi" w:eastAsiaTheme="minorEastAsia" w:cstheme="minorBidi"/>
      <w:sz w:val="22"/>
      <w:szCs w:val="24"/>
      <w14:ligatures w14:val="standardContextual"/>
    </w:rPr>
  </w:style>
  <w:style w:type="paragraph" w:styleId="28">
    <w:name w:val="Title"/>
    <w:basedOn w:val="1"/>
    <w:link w:val="54"/>
    <w:qFormat/>
    <w:uiPriority w:val="0"/>
    <w:pPr>
      <w:spacing w:before="240" w:after="60"/>
      <w:jc w:val="center"/>
      <w:outlineLvl w:val="0"/>
    </w:pPr>
    <w:rPr>
      <w:rFonts w:ascii="Arial" w:hAnsi="Arial" w:cs="Arial"/>
      <w:b/>
      <w:bCs/>
      <w:sz w:val="32"/>
      <w:szCs w:val="32"/>
    </w:rPr>
  </w:style>
  <w:style w:type="paragraph" w:styleId="29">
    <w:name w:val="annotation subject"/>
    <w:basedOn w:val="13"/>
    <w:next w:val="13"/>
    <w:link w:val="243"/>
    <w:semiHidden/>
    <w:unhideWhenUsed/>
    <w:qFormat/>
    <w:uiPriority w:val="99"/>
    <w:rPr>
      <w:b/>
      <w:bCs/>
    </w:rPr>
  </w:style>
  <w:style w:type="table" w:styleId="31">
    <w:name w:val="Table Grid"/>
    <w:basedOn w:val="3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qFormat/>
    <w:uiPriority w:val="22"/>
    <w:rPr>
      <w:b/>
      <w:bCs/>
    </w:rPr>
  </w:style>
  <w:style w:type="character" w:styleId="34">
    <w:name w:val="page number"/>
    <w:qFormat/>
    <w:uiPriority w:val="0"/>
    <w:rPr>
      <w:rFonts w:ascii="宋体" w:hAnsi="Times New Roman" w:eastAsia="宋体"/>
      <w:sz w:val="18"/>
    </w:rPr>
  </w:style>
  <w:style w:type="character" w:styleId="35">
    <w:name w:val="Emphasis"/>
    <w:qFormat/>
    <w:uiPriority w:val="20"/>
    <w:rPr>
      <w:i/>
      <w:iCs/>
    </w:rPr>
  </w:style>
  <w:style w:type="character" w:styleId="36">
    <w:name w:val="Hyperlink"/>
    <w:qFormat/>
    <w:uiPriority w:val="99"/>
    <w:rPr>
      <w:rFonts w:ascii="宋体" w:hAnsi="Times New Roman" w:eastAsia="宋体"/>
      <w:color w:val="auto"/>
      <w:spacing w:val="0"/>
      <w:w w:val="100"/>
      <w:position w:val="0"/>
      <w:sz w:val="21"/>
      <w:u w:val="none"/>
      <w:vertAlign w:val="baseline"/>
    </w:rPr>
  </w:style>
  <w:style w:type="character" w:styleId="37">
    <w:name w:val="HTML Code"/>
    <w:basedOn w:val="32"/>
    <w:semiHidden/>
    <w:unhideWhenUsed/>
    <w:qFormat/>
    <w:uiPriority w:val="99"/>
    <w:rPr>
      <w:rFonts w:ascii="Courier New" w:hAnsi="Courier New" w:eastAsia="Times New Roman" w:cs="Courier New"/>
      <w:sz w:val="20"/>
      <w:szCs w:val="20"/>
    </w:rPr>
  </w:style>
  <w:style w:type="character" w:styleId="38">
    <w:name w:val="annotation reference"/>
    <w:basedOn w:val="32"/>
    <w:semiHidden/>
    <w:unhideWhenUsed/>
    <w:qFormat/>
    <w:uiPriority w:val="99"/>
    <w:rPr>
      <w:sz w:val="21"/>
      <w:szCs w:val="21"/>
    </w:rPr>
  </w:style>
  <w:style w:type="character" w:styleId="39">
    <w:name w:val="footnote reference"/>
    <w:semiHidden/>
    <w:qFormat/>
    <w:uiPriority w:val="0"/>
    <w:rPr>
      <w:rFonts w:ascii="宋体" w:hAnsi="宋体" w:eastAsia="宋体" w:cs="Times New Roman"/>
      <w:spacing w:val="0"/>
      <w:sz w:val="18"/>
      <w:vertAlign w:val="superscript"/>
    </w:rPr>
  </w:style>
  <w:style w:type="character" w:customStyle="1" w:styleId="40">
    <w:name w:val="标题 1 字符"/>
    <w:link w:val="2"/>
    <w:qFormat/>
    <w:uiPriority w:val="0"/>
    <w:rPr>
      <w:b/>
      <w:bCs/>
      <w:kern w:val="44"/>
      <w:sz w:val="44"/>
      <w:szCs w:val="44"/>
    </w:rPr>
  </w:style>
  <w:style w:type="character" w:customStyle="1" w:styleId="41">
    <w:name w:val="标题 2 字符"/>
    <w:link w:val="3"/>
    <w:qFormat/>
    <w:uiPriority w:val="0"/>
    <w:rPr>
      <w:rFonts w:ascii="Arial" w:hAnsi="Arial" w:eastAsia="黑体"/>
      <w:b/>
      <w:bCs/>
      <w:kern w:val="2"/>
      <w:sz w:val="32"/>
      <w:szCs w:val="32"/>
    </w:rPr>
  </w:style>
  <w:style w:type="character" w:customStyle="1" w:styleId="42">
    <w:name w:val="标题 3 字符"/>
    <w:link w:val="4"/>
    <w:qFormat/>
    <w:uiPriority w:val="0"/>
    <w:rPr>
      <w:b/>
      <w:bCs/>
      <w:kern w:val="2"/>
      <w:sz w:val="32"/>
      <w:szCs w:val="32"/>
    </w:rPr>
  </w:style>
  <w:style w:type="character" w:customStyle="1" w:styleId="43">
    <w:name w:val="标题 4 字符"/>
    <w:link w:val="5"/>
    <w:qFormat/>
    <w:uiPriority w:val="0"/>
    <w:rPr>
      <w:rFonts w:ascii="Arial" w:hAnsi="Arial" w:eastAsia="黑体"/>
      <w:b/>
      <w:bCs/>
      <w:kern w:val="2"/>
      <w:sz w:val="28"/>
      <w:szCs w:val="28"/>
    </w:rPr>
  </w:style>
  <w:style w:type="character" w:customStyle="1" w:styleId="44">
    <w:name w:val="标题 5 字符"/>
    <w:link w:val="6"/>
    <w:qFormat/>
    <w:uiPriority w:val="0"/>
    <w:rPr>
      <w:b/>
      <w:bCs/>
      <w:kern w:val="2"/>
      <w:sz w:val="28"/>
      <w:szCs w:val="28"/>
    </w:rPr>
  </w:style>
  <w:style w:type="character" w:customStyle="1" w:styleId="45">
    <w:name w:val="标题 6 字符"/>
    <w:link w:val="7"/>
    <w:qFormat/>
    <w:uiPriority w:val="0"/>
    <w:rPr>
      <w:rFonts w:ascii="Arial" w:hAnsi="Arial" w:eastAsia="黑体"/>
      <w:b/>
      <w:bCs/>
      <w:kern w:val="2"/>
      <w:sz w:val="24"/>
      <w:szCs w:val="24"/>
    </w:rPr>
  </w:style>
  <w:style w:type="character" w:customStyle="1" w:styleId="46">
    <w:name w:val="标题 7 字符"/>
    <w:link w:val="8"/>
    <w:qFormat/>
    <w:uiPriority w:val="0"/>
    <w:rPr>
      <w:b/>
      <w:bCs/>
      <w:kern w:val="2"/>
      <w:sz w:val="24"/>
      <w:szCs w:val="24"/>
    </w:rPr>
  </w:style>
  <w:style w:type="character" w:customStyle="1" w:styleId="47">
    <w:name w:val="标题 8 字符"/>
    <w:link w:val="9"/>
    <w:qFormat/>
    <w:uiPriority w:val="0"/>
    <w:rPr>
      <w:rFonts w:ascii="Arial" w:hAnsi="Arial" w:eastAsia="黑体"/>
      <w:kern w:val="2"/>
      <w:sz w:val="24"/>
      <w:szCs w:val="24"/>
    </w:rPr>
  </w:style>
  <w:style w:type="character" w:customStyle="1" w:styleId="48">
    <w:name w:val="标题 9 字符"/>
    <w:link w:val="10"/>
    <w:qFormat/>
    <w:uiPriority w:val="0"/>
    <w:rPr>
      <w:rFonts w:ascii="Arial" w:hAnsi="Arial" w:eastAsia="黑体"/>
      <w:kern w:val="2"/>
      <w:sz w:val="21"/>
      <w:szCs w:val="21"/>
    </w:rPr>
  </w:style>
  <w:style w:type="character" w:customStyle="1" w:styleId="49">
    <w:name w:val="页眉 字符"/>
    <w:link w:val="20"/>
    <w:qFormat/>
    <w:uiPriority w:val="99"/>
    <w:rPr>
      <w:kern w:val="2"/>
      <w:sz w:val="18"/>
      <w:szCs w:val="18"/>
    </w:rPr>
  </w:style>
  <w:style w:type="character" w:customStyle="1" w:styleId="50">
    <w:name w:val="页脚 字符"/>
    <w:link w:val="19"/>
    <w:qFormat/>
    <w:uiPriority w:val="99"/>
    <w:rPr>
      <w:rFonts w:ascii="宋体"/>
      <w:kern w:val="2"/>
      <w:sz w:val="18"/>
      <w:szCs w:val="18"/>
    </w:rPr>
  </w:style>
  <w:style w:type="character" w:customStyle="1" w:styleId="51">
    <w:name w:val="批注框文本 字符"/>
    <w:link w:val="18"/>
    <w:semiHidden/>
    <w:qFormat/>
    <w:uiPriority w:val="99"/>
    <w:rPr>
      <w:kern w:val="2"/>
      <w:sz w:val="18"/>
      <w:szCs w:val="18"/>
    </w:rPr>
  </w:style>
  <w:style w:type="paragraph" w:styleId="52">
    <w:name w:val="Quote"/>
    <w:basedOn w:val="1"/>
    <w:next w:val="1"/>
    <w:link w:val="53"/>
    <w:qFormat/>
    <w:uiPriority w:val="29"/>
    <w:rPr>
      <w:i/>
      <w:iCs/>
      <w:color w:val="000000"/>
    </w:rPr>
  </w:style>
  <w:style w:type="character" w:customStyle="1" w:styleId="53">
    <w:name w:val="引用 字符"/>
    <w:link w:val="52"/>
    <w:qFormat/>
    <w:uiPriority w:val="29"/>
    <w:rPr>
      <w:i/>
      <w:iCs/>
      <w:color w:val="000000"/>
      <w:kern w:val="2"/>
      <w:sz w:val="21"/>
      <w:szCs w:val="21"/>
    </w:rPr>
  </w:style>
  <w:style w:type="character" w:customStyle="1" w:styleId="54">
    <w:name w:val="标题 字符"/>
    <w:link w:val="28"/>
    <w:qFormat/>
    <w:uiPriority w:val="0"/>
    <w:rPr>
      <w:rFonts w:ascii="Arial" w:hAnsi="Arial" w:cs="Arial"/>
      <w:b/>
      <w:bCs/>
      <w:kern w:val="2"/>
      <w:sz w:val="32"/>
      <w:szCs w:val="32"/>
    </w:rPr>
  </w:style>
  <w:style w:type="paragraph" w:customStyle="1" w:styleId="55">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6">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7">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8">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9">
    <w:name w:val="标准书眉一"/>
    <w:qFormat/>
    <w:uiPriority w:val="0"/>
    <w:pPr>
      <w:jc w:val="both"/>
    </w:pPr>
    <w:rPr>
      <w:rFonts w:ascii="Times New Roman" w:hAnsi="Times New Roman" w:eastAsia="宋体" w:cs="Times New Roman"/>
      <w:lang w:val="en-US" w:eastAsia="zh-CN" w:bidi="ar-SA"/>
    </w:rPr>
  </w:style>
  <w:style w:type="paragraph" w:customStyle="1" w:styleId="60">
    <w:name w:val="标准文件_ICS"/>
    <w:basedOn w:val="1"/>
    <w:qFormat/>
    <w:uiPriority w:val="0"/>
    <w:pPr>
      <w:spacing w:line="0" w:lineRule="atLeast"/>
    </w:pPr>
    <w:rPr>
      <w:rFonts w:ascii="黑体" w:hAnsi="宋体" w:eastAsia="黑体"/>
    </w:rPr>
  </w:style>
  <w:style w:type="paragraph" w:customStyle="1" w:styleId="61">
    <w:name w:val="标准文件_标准正文"/>
    <w:basedOn w:val="1"/>
    <w:next w:val="62"/>
    <w:qFormat/>
    <w:uiPriority w:val="0"/>
    <w:pPr>
      <w:snapToGrid w:val="0"/>
      <w:ind w:firstLine="200" w:firstLineChars="200"/>
    </w:pPr>
    <w:rPr>
      <w:kern w:val="0"/>
    </w:rPr>
  </w:style>
  <w:style w:type="paragraph" w:customStyle="1" w:styleId="62">
    <w:name w:val="标准文件_段"/>
    <w:link w:val="190"/>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3">
    <w:name w:val="标准文件_版本"/>
    <w:basedOn w:val="61"/>
    <w:qFormat/>
    <w:uiPriority w:val="0"/>
    <w:pPr>
      <w:adjustRightInd/>
      <w:snapToGrid/>
      <w:ind w:firstLine="0" w:firstLineChars="0"/>
    </w:pPr>
    <w:rPr>
      <w:rFonts w:ascii="宋体" w:hAnsi="宋体"/>
      <w:kern w:val="2"/>
    </w:rPr>
  </w:style>
  <w:style w:type="paragraph" w:customStyle="1" w:styleId="64">
    <w:name w:val="标准文件_标准部门"/>
    <w:basedOn w:val="1"/>
    <w:qFormat/>
    <w:uiPriority w:val="0"/>
    <w:pPr>
      <w:jc w:val="center"/>
    </w:pPr>
    <w:rPr>
      <w:rFonts w:ascii="黑体" w:eastAsia="黑体"/>
      <w:kern w:val="0"/>
      <w:sz w:val="44"/>
    </w:rPr>
  </w:style>
  <w:style w:type="paragraph" w:customStyle="1" w:styleId="65">
    <w:name w:val="标准文件_标准代替"/>
    <w:basedOn w:val="1"/>
    <w:next w:val="1"/>
    <w:qFormat/>
    <w:uiPriority w:val="0"/>
    <w:pPr>
      <w:spacing w:line="310" w:lineRule="exact"/>
      <w:jc w:val="right"/>
    </w:pPr>
    <w:rPr>
      <w:rFonts w:ascii="宋体" w:hAnsi="宋体"/>
      <w:kern w:val="0"/>
    </w:rPr>
  </w:style>
  <w:style w:type="paragraph" w:customStyle="1" w:styleId="66">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7">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8">
    <w:name w:val="标准文件_页眉偶数页"/>
    <w:basedOn w:val="67"/>
    <w:next w:val="1"/>
    <w:qFormat/>
    <w:uiPriority w:val="0"/>
    <w:pPr>
      <w:jc w:val="left"/>
    </w:pPr>
  </w:style>
  <w:style w:type="paragraph" w:customStyle="1" w:styleId="69">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70">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71">
    <w:name w:val="标准文件_二级条标题"/>
    <w:next w:val="62"/>
    <w:qFormat/>
    <w:uiPriority w:val="0"/>
    <w:pPr>
      <w:widowControl w:val="0"/>
      <w:numPr>
        <w:ilvl w:val="3"/>
        <w:numId w:val="2"/>
      </w:numPr>
      <w:spacing w:before="50" w:beforeLines="50" w:after="50" w:afterLines="50"/>
      <w:ind w:left="0"/>
      <w:jc w:val="both"/>
      <w:outlineLvl w:val="2"/>
    </w:pPr>
    <w:rPr>
      <w:rFonts w:ascii="黑体" w:hAnsi="Times New Roman" w:eastAsia="黑体" w:cs="Times New Roman"/>
      <w:sz w:val="21"/>
      <w:lang w:val="en-US" w:eastAsia="zh-CN" w:bidi="ar-SA"/>
    </w:rPr>
  </w:style>
  <w:style w:type="character" w:customStyle="1" w:styleId="72">
    <w:name w:val="标准文件_发布"/>
    <w:qFormat/>
    <w:uiPriority w:val="0"/>
    <w:rPr>
      <w:rFonts w:ascii="黑体" w:eastAsia="黑体"/>
      <w:spacing w:val="0"/>
      <w:w w:val="100"/>
      <w:position w:val="3"/>
      <w:sz w:val="28"/>
    </w:rPr>
  </w:style>
  <w:style w:type="paragraph" w:customStyle="1" w:styleId="73">
    <w:name w:val="标准文件_方框数字列项"/>
    <w:basedOn w:val="62"/>
    <w:qFormat/>
    <w:uiPriority w:val="0"/>
    <w:pPr>
      <w:numPr>
        <w:ilvl w:val="0"/>
        <w:numId w:val="3"/>
      </w:numPr>
      <w:ind w:firstLine="0" w:firstLineChars="0"/>
    </w:pPr>
  </w:style>
  <w:style w:type="paragraph" w:customStyle="1" w:styleId="74">
    <w:name w:val="标准文件_封面标准编号"/>
    <w:basedOn w:val="1"/>
    <w:next w:val="65"/>
    <w:qFormat/>
    <w:uiPriority w:val="0"/>
    <w:pPr>
      <w:spacing w:line="310" w:lineRule="exact"/>
      <w:jc w:val="right"/>
    </w:pPr>
    <w:rPr>
      <w:rFonts w:ascii="黑体" w:eastAsia="黑体"/>
      <w:kern w:val="0"/>
      <w:sz w:val="28"/>
    </w:rPr>
  </w:style>
  <w:style w:type="paragraph" w:customStyle="1" w:styleId="75">
    <w:name w:val="标准文件_封面标准分类号"/>
    <w:basedOn w:val="1"/>
    <w:qFormat/>
    <w:uiPriority w:val="0"/>
    <w:rPr>
      <w:rFonts w:ascii="黑体" w:eastAsia="黑体"/>
      <w:b/>
      <w:kern w:val="0"/>
      <w:sz w:val="28"/>
    </w:rPr>
  </w:style>
  <w:style w:type="paragraph" w:customStyle="1" w:styleId="76">
    <w:name w:val="标准文件_封面标准名称"/>
    <w:basedOn w:val="1"/>
    <w:qFormat/>
    <w:uiPriority w:val="0"/>
    <w:pPr>
      <w:spacing w:line="240" w:lineRule="auto"/>
      <w:jc w:val="center"/>
    </w:pPr>
    <w:rPr>
      <w:rFonts w:ascii="黑体" w:eastAsia="黑体"/>
      <w:kern w:val="0"/>
      <w:sz w:val="52"/>
    </w:rPr>
  </w:style>
  <w:style w:type="paragraph" w:customStyle="1" w:styleId="77">
    <w:name w:val="标准文件_封面标准英文名称"/>
    <w:basedOn w:val="1"/>
    <w:qFormat/>
    <w:uiPriority w:val="0"/>
    <w:pPr>
      <w:spacing w:line="240" w:lineRule="auto"/>
      <w:jc w:val="center"/>
    </w:pPr>
    <w:rPr>
      <w:rFonts w:ascii="黑体" w:eastAsia="黑体"/>
      <w:b/>
      <w:sz w:val="28"/>
    </w:rPr>
  </w:style>
  <w:style w:type="paragraph" w:customStyle="1" w:styleId="78">
    <w:name w:val="标准文件_封面发布日期"/>
    <w:basedOn w:val="1"/>
    <w:qFormat/>
    <w:uiPriority w:val="0"/>
    <w:pPr>
      <w:spacing w:line="310" w:lineRule="exact"/>
    </w:pPr>
    <w:rPr>
      <w:rFonts w:ascii="黑体" w:eastAsia="黑体"/>
      <w:kern w:val="0"/>
      <w:sz w:val="28"/>
    </w:rPr>
  </w:style>
  <w:style w:type="paragraph" w:customStyle="1" w:styleId="79">
    <w:name w:val="标准文件_封面密级"/>
    <w:basedOn w:val="1"/>
    <w:qFormat/>
    <w:uiPriority w:val="0"/>
    <w:rPr>
      <w:rFonts w:eastAsia="黑体"/>
      <w:sz w:val="32"/>
    </w:rPr>
  </w:style>
  <w:style w:type="paragraph" w:customStyle="1" w:styleId="80">
    <w:name w:val="标准文件_封面实施日期"/>
    <w:basedOn w:val="1"/>
    <w:qFormat/>
    <w:uiPriority w:val="0"/>
    <w:pPr>
      <w:spacing w:line="310" w:lineRule="exact"/>
      <w:jc w:val="right"/>
    </w:pPr>
    <w:rPr>
      <w:rFonts w:ascii="黑体" w:eastAsia="黑体"/>
      <w:sz w:val="28"/>
    </w:rPr>
  </w:style>
  <w:style w:type="paragraph" w:customStyle="1" w:styleId="81">
    <w:name w:val="标准文件_封面抬头"/>
    <w:basedOn w:val="62"/>
    <w:qFormat/>
    <w:uiPriority w:val="0"/>
    <w:pPr>
      <w:adjustRightInd w:val="0"/>
      <w:spacing w:line="800" w:lineRule="exact"/>
      <w:ind w:firstLine="0" w:firstLineChars="0"/>
      <w:jc w:val="distribute"/>
    </w:pPr>
    <w:rPr>
      <w:rFonts w:ascii="黑体" w:eastAsia="黑体"/>
      <w:b/>
      <w:sz w:val="64"/>
    </w:rPr>
  </w:style>
  <w:style w:type="paragraph" w:customStyle="1" w:styleId="82">
    <w:name w:val="标准文件_附录标识"/>
    <w:next w:val="62"/>
    <w:qFormat/>
    <w:uiPriority w:val="0"/>
    <w:p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3">
    <w:name w:val="标准文件_附录表标题"/>
    <w:next w:val="62"/>
    <w:qFormat/>
    <w:uiPriority w:val="0"/>
    <w:pPr>
      <w:numPr>
        <w:ilvl w:val="1"/>
        <w:numId w:val="4"/>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4">
    <w:name w:val="标准文件_附录一级条标题"/>
    <w:next w:val="62"/>
    <w:qFormat/>
    <w:uiPriority w:val="0"/>
    <w:pPr>
      <w:widowControl w:val="0"/>
      <w:numPr>
        <w:ilvl w:val="1"/>
        <w:numId w:val="5"/>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5">
    <w:name w:val="标准文件_附录二级条标题"/>
    <w:basedOn w:val="84"/>
    <w:next w:val="62"/>
    <w:qFormat/>
    <w:uiPriority w:val="0"/>
    <w:pPr>
      <w:widowControl/>
      <w:numPr>
        <w:ilvl w:val="0"/>
        <w:numId w:val="0"/>
      </w:numPr>
      <w:wordWrap w:val="0"/>
      <w:overflowPunct w:val="0"/>
      <w:autoSpaceDE w:val="0"/>
      <w:autoSpaceDN w:val="0"/>
      <w:textAlignment w:val="baseline"/>
      <w:outlineLvl w:val="3"/>
    </w:pPr>
  </w:style>
  <w:style w:type="paragraph" w:customStyle="1" w:styleId="86">
    <w:name w:val="标准文件_附录公式"/>
    <w:basedOn w:val="61"/>
    <w:next w:val="61"/>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7">
    <w:name w:val="标准文件_附录三级条标题"/>
    <w:next w:val="62"/>
    <w:qFormat/>
    <w:uiPriority w:val="0"/>
    <w:pPr>
      <w:widowControl w:val="0"/>
      <w:numPr>
        <w:ilvl w:val="3"/>
        <w:numId w:val="5"/>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8">
    <w:name w:val="标准文件_附录四级条标题"/>
    <w:next w:val="62"/>
    <w:qFormat/>
    <w:uiPriority w:val="0"/>
    <w:pPr>
      <w:widowControl w:val="0"/>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9">
    <w:name w:val="标准文件_附录图标题"/>
    <w:next w:val="62"/>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90">
    <w:name w:val="标准文件_附录五级条标题"/>
    <w:next w:val="62"/>
    <w:qFormat/>
    <w:uiPriority w:val="0"/>
    <w:pPr>
      <w:widowControl w:val="0"/>
      <w:numPr>
        <w:ilvl w:val="5"/>
        <w:numId w:val="5"/>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91">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2">
    <w:name w:val="正文文本 字符"/>
    <w:link w:val="14"/>
    <w:qFormat/>
    <w:uiPriority w:val="0"/>
    <w:rPr>
      <w:kern w:val="2"/>
      <w:sz w:val="21"/>
      <w:szCs w:val="21"/>
    </w:rPr>
  </w:style>
  <w:style w:type="paragraph" w:customStyle="1" w:styleId="93">
    <w:name w:val="标准文件_附录章标题"/>
    <w:next w:val="62"/>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4">
    <w:name w:val="标准文件_公式后的破折号"/>
    <w:basedOn w:val="62"/>
    <w:next w:val="62"/>
    <w:qFormat/>
    <w:uiPriority w:val="0"/>
    <w:pPr>
      <w:ind w:left="488" w:leftChars="200" w:hanging="289" w:hangingChars="290"/>
    </w:pPr>
  </w:style>
  <w:style w:type="paragraph" w:customStyle="1" w:styleId="95">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6">
    <w:name w:val="标准文件_目次、标准名称标题"/>
    <w:basedOn w:val="95"/>
    <w:next w:val="62"/>
    <w:qFormat/>
    <w:uiPriority w:val="0"/>
    <w:pPr>
      <w:spacing w:line="460" w:lineRule="exact"/>
      <w:ind w:left="0" w:firstLine="0"/>
    </w:pPr>
  </w:style>
  <w:style w:type="paragraph" w:customStyle="1" w:styleId="97">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8">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9">
    <w:name w:val="标准文件_破折号列项（二级）"/>
    <w:basedOn w:val="98"/>
    <w:qFormat/>
    <w:uiPriority w:val="0"/>
    <w:pPr>
      <w:numPr>
        <w:numId w:val="10"/>
      </w:numPr>
    </w:pPr>
  </w:style>
  <w:style w:type="paragraph" w:customStyle="1" w:styleId="100">
    <w:name w:val="标准文件_三级条标题"/>
    <w:basedOn w:val="71"/>
    <w:next w:val="62"/>
    <w:qFormat/>
    <w:uiPriority w:val="0"/>
    <w:pPr>
      <w:widowControl/>
      <w:numPr>
        <w:ilvl w:val="4"/>
      </w:numPr>
      <w:outlineLvl w:val="3"/>
    </w:pPr>
  </w:style>
  <w:style w:type="character" w:customStyle="1" w:styleId="101">
    <w:name w:val="不明显参考1"/>
    <w:qFormat/>
    <w:uiPriority w:val="31"/>
    <w:rPr>
      <w:smallCaps/>
      <w:color w:val="C0504D"/>
      <w:u w:val="single"/>
    </w:rPr>
  </w:style>
  <w:style w:type="paragraph" w:customStyle="1" w:styleId="102">
    <w:name w:val="标准文件_示例后续"/>
    <w:basedOn w:val="1"/>
    <w:qFormat/>
    <w:uiPriority w:val="0"/>
    <w:pPr>
      <w:adjustRightInd/>
      <w:spacing w:line="240" w:lineRule="auto"/>
      <w:ind w:firstLine="200" w:firstLineChars="200"/>
    </w:pPr>
    <w:rPr>
      <w:sz w:val="18"/>
      <w:szCs w:val="24"/>
    </w:rPr>
  </w:style>
  <w:style w:type="paragraph" w:customStyle="1" w:styleId="103">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4">
    <w:name w:val="标准文件_四级条标题"/>
    <w:next w:val="62"/>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5">
    <w:name w:val="脚注文本 字符"/>
    <w:link w:val="23"/>
    <w:semiHidden/>
    <w:qFormat/>
    <w:uiPriority w:val="0"/>
    <w:rPr>
      <w:rFonts w:ascii="宋体"/>
      <w:kern w:val="2"/>
      <w:sz w:val="18"/>
      <w:szCs w:val="18"/>
    </w:rPr>
  </w:style>
  <w:style w:type="paragraph" w:customStyle="1" w:styleId="106">
    <w:name w:val="标准文件_条文脚注"/>
    <w:basedOn w:val="23"/>
    <w:qFormat/>
    <w:uiPriority w:val="0"/>
    <w:pPr>
      <w:adjustRightInd w:val="0"/>
      <w:spacing w:line="240" w:lineRule="auto"/>
      <w:ind w:left="0" w:leftChars="0" w:firstLine="200" w:firstLineChars="200"/>
      <w:jc w:val="both"/>
    </w:pPr>
    <w:rPr>
      <w:rFonts w:hAnsi="宋体"/>
    </w:rPr>
  </w:style>
  <w:style w:type="paragraph" w:customStyle="1" w:styleId="107">
    <w:name w:val="标准文件_图表脚注"/>
    <w:basedOn w:val="1"/>
    <w:next w:val="62"/>
    <w:qFormat/>
    <w:uiPriority w:val="0"/>
    <w:pPr>
      <w:numPr>
        <w:ilvl w:val="0"/>
        <w:numId w:val="12"/>
      </w:numPr>
      <w:spacing w:line="240" w:lineRule="auto"/>
      <w:jc w:val="left"/>
    </w:pPr>
    <w:rPr>
      <w:rFonts w:ascii="宋体" w:hAnsi="宋体"/>
      <w:sz w:val="18"/>
    </w:rPr>
  </w:style>
  <w:style w:type="character" w:customStyle="1" w:styleId="108">
    <w:name w:val="标准文件_图表脚注内容"/>
    <w:qFormat/>
    <w:uiPriority w:val="0"/>
    <w:rPr>
      <w:rFonts w:ascii="宋体" w:hAnsi="宋体" w:eastAsia="宋体" w:cs="Times New Roman"/>
      <w:spacing w:val="0"/>
      <w:sz w:val="18"/>
      <w:vertAlign w:val="superscript"/>
    </w:rPr>
  </w:style>
  <w:style w:type="paragraph" w:customStyle="1" w:styleId="109">
    <w:name w:val="标准文件_五级条标题"/>
    <w:next w:val="62"/>
    <w:qFormat/>
    <w:uiPriority w:val="0"/>
    <w:pPr>
      <w:widowControl w:val="0"/>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10">
    <w:name w:val="标准文件_章标题"/>
    <w:next w:val="62"/>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11">
    <w:name w:val="标准文件_一级条标题"/>
    <w:basedOn w:val="110"/>
    <w:next w:val="62"/>
    <w:qFormat/>
    <w:uiPriority w:val="0"/>
    <w:pPr>
      <w:numPr>
        <w:ilvl w:val="2"/>
      </w:numPr>
      <w:spacing w:before="50" w:beforeLines="50" w:after="50" w:afterLines="50"/>
      <w:outlineLvl w:val="1"/>
    </w:pPr>
  </w:style>
  <w:style w:type="paragraph" w:customStyle="1" w:styleId="112">
    <w:name w:val="标准文件_一致程度"/>
    <w:basedOn w:val="1"/>
    <w:qFormat/>
    <w:uiPriority w:val="0"/>
    <w:pPr>
      <w:spacing w:line="440" w:lineRule="exact"/>
      <w:jc w:val="center"/>
    </w:pPr>
    <w:rPr>
      <w:sz w:val="28"/>
    </w:rPr>
  </w:style>
  <w:style w:type="paragraph" w:customStyle="1" w:styleId="113">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4">
    <w:name w:val="标准文件_英文图表脚注"/>
    <w:basedOn w:val="61"/>
    <w:qFormat/>
    <w:uiPriority w:val="0"/>
    <w:pPr>
      <w:widowControl/>
      <w:adjustRightInd/>
      <w:snapToGrid/>
      <w:spacing w:line="240" w:lineRule="auto"/>
      <w:ind w:left="79" w:hanging="79" w:hangingChars="80"/>
    </w:pPr>
    <w:rPr>
      <w:rFonts w:ascii="宋体" w:hAnsi="宋体"/>
    </w:rPr>
  </w:style>
  <w:style w:type="paragraph" w:customStyle="1" w:styleId="115">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6">
    <w:name w:val="标准文件_英文注："/>
    <w:basedOn w:val="1"/>
    <w:next w:val="62"/>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7">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8">
    <w:name w:val="标准文件_正文表标题"/>
    <w:next w:val="62"/>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9">
    <w:name w:val="标准文件_正文公式"/>
    <w:basedOn w:val="1"/>
    <w:next w:val="61"/>
    <w:qFormat/>
    <w:uiPriority w:val="0"/>
    <w:pPr>
      <w:tabs>
        <w:tab w:val="center" w:pos="4678"/>
        <w:tab w:val="right" w:leader="middleDot" w:pos="9356"/>
      </w:tabs>
      <w:spacing w:line="240" w:lineRule="auto"/>
    </w:pPr>
    <w:rPr>
      <w:rFonts w:ascii="宋体" w:hAnsi="宋体"/>
    </w:rPr>
  </w:style>
  <w:style w:type="paragraph" w:customStyle="1" w:styleId="120">
    <w:name w:val="标准文件_正文图标题"/>
    <w:next w:val="62"/>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21">
    <w:name w:val="标准文件_正文英文表标题"/>
    <w:next w:val="62"/>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2">
    <w:name w:val="标准文件_正文英文图标题"/>
    <w:next w:val="62"/>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3">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24">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5">
    <w:name w:val="发布部门"/>
    <w:next w:val="62"/>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6">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7">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8">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9">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30">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31">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2">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3">
    <w:name w:val="封面正文"/>
    <w:qFormat/>
    <w:uiPriority w:val="0"/>
    <w:pPr>
      <w:jc w:val="both"/>
    </w:pPr>
    <w:rPr>
      <w:rFonts w:ascii="Times New Roman" w:hAnsi="Times New Roman" w:eastAsia="宋体" w:cs="Times New Roman"/>
      <w:lang w:val="en-US" w:eastAsia="zh-CN" w:bidi="ar-SA"/>
    </w:rPr>
  </w:style>
  <w:style w:type="paragraph" w:customStyle="1" w:styleId="134">
    <w:name w:val="附录二级无标题条"/>
    <w:basedOn w:val="1"/>
    <w:next w:val="62"/>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5">
    <w:name w:val="附录三级无标题条"/>
    <w:basedOn w:val="134"/>
    <w:next w:val="62"/>
    <w:qFormat/>
    <w:uiPriority w:val="0"/>
    <w:pPr>
      <w:outlineLvl w:val="4"/>
    </w:pPr>
  </w:style>
  <w:style w:type="paragraph" w:customStyle="1" w:styleId="136">
    <w:name w:val="附录四级无标题条"/>
    <w:basedOn w:val="135"/>
    <w:next w:val="62"/>
    <w:qFormat/>
    <w:uiPriority w:val="0"/>
    <w:pPr>
      <w:outlineLvl w:val="5"/>
    </w:pPr>
  </w:style>
  <w:style w:type="paragraph" w:customStyle="1" w:styleId="137">
    <w:name w:val="附录图"/>
    <w:next w:val="62"/>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8">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9">
    <w:name w:val="附录五级无标题条"/>
    <w:basedOn w:val="136"/>
    <w:next w:val="62"/>
    <w:qFormat/>
    <w:uiPriority w:val="0"/>
    <w:pPr>
      <w:outlineLvl w:val="6"/>
    </w:pPr>
  </w:style>
  <w:style w:type="paragraph" w:customStyle="1" w:styleId="140">
    <w:name w:val="附录性质"/>
    <w:basedOn w:val="1"/>
    <w:qFormat/>
    <w:uiPriority w:val="0"/>
    <w:pPr>
      <w:widowControl/>
      <w:adjustRightInd/>
      <w:jc w:val="center"/>
    </w:pPr>
    <w:rPr>
      <w:rFonts w:ascii="黑体" w:eastAsia="黑体"/>
    </w:rPr>
  </w:style>
  <w:style w:type="paragraph" w:customStyle="1" w:styleId="141">
    <w:name w:val="附录一级无标题条"/>
    <w:basedOn w:val="93"/>
    <w:next w:val="62"/>
    <w:qFormat/>
    <w:uiPriority w:val="0"/>
    <w:pPr>
      <w:autoSpaceDN w:val="0"/>
      <w:outlineLvl w:val="2"/>
    </w:pPr>
    <w:rPr>
      <w:rFonts w:ascii="宋体" w:hAnsi="宋体" w:eastAsia="宋体"/>
    </w:rPr>
  </w:style>
  <w:style w:type="character" w:customStyle="1" w:styleId="142">
    <w:name w:val="个人答复风格"/>
    <w:qFormat/>
    <w:uiPriority w:val="0"/>
    <w:rPr>
      <w:rFonts w:ascii="Arial" w:hAnsi="Arial" w:eastAsia="宋体" w:cs="Arial"/>
      <w:color w:val="auto"/>
      <w:spacing w:val="0"/>
      <w:sz w:val="20"/>
    </w:rPr>
  </w:style>
  <w:style w:type="character" w:customStyle="1" w:styleId="143">
    <w:name w:val="个人撰写风格"/>
    <w:qFormat/>
    <w:uiPriority w:val="0"/>
    <w:rPr>
      <w:rFonts w:ascii="Arial" w:hAnsi="Arial" w:eastAsia="宋体" w:cs="Arial"/>
      <w:color w:val="auto"/>
      <w:spacing w:val="0"/>
      <w:sz w:val="20"/>
    </w:rPr>
  </w:style>
  <w:style w:type="paragraph" w:customStyle="1" w:styleId="144">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5">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6">
    <w:name w:val="列项·"/>
    <w:basedOn w:val="62"/>
    <w:qFormat/>
    <w:uiPriority w:val="0"/>
    <w:pPr>
      <w:tabs>
        <w:tab w:val="left" w:pos="840"/>
      </w:tabs>
    </w:pPr>
  </w:style>
  <w:style w:type="paragraph" w:customStyle="1" w:styleId="14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8">
    <w:name w:val="目录 21"/>
    <w:basedOn w:val="1"/>
    <w:next w:val="1"/>
    <w:autoRedefine/>
    <w:semiHidden/>
    <w:qFormat/>
    <w:uiPriority w:val="0"/>
    <w:pPr>
      <w:adjustRightInd/>
      <w:spacing w:line="240" w:lineRule="auto"/>
      <w:jc w:val="left"/>
    </w:pPr>
    <w:rPr>
      <w:bCs/>
      <w:iCs/>
    </w:rPr>
  </w:style>
  <w:style w:type="paragraph" w:customStyle="1" w:styleId="149">
    <w:name w:val="目录 31"/>
    <w:basedOn w:val="1"/>
    <w:next w:val="1"/>
    <w:autoRedefine/>
    <w:semiHidden/>
    <w:qFormat/>
    <w:uiPriority w:val="0"/>
    <w:pPr>
      <w:spacing w:line="240" w:lineRule="auto"/>
    </w:pPr>
    <w:rPr>
      <w:rFonts w:ascii="宋体" w:hAnsi="宋体"/>
      <w:iCs/>
    </w:rPr>
  </w:style>
  <w:style w:type="paragraph" w:customStyle="1" w:styleId="150">
    <w:name w:val="目录 41"/>
    <w:basedOn w:val="1"/>
    <w:next w:val="1"/>
    <w:autoRedefine/>
    <w:semiHidden/>
    <w:qFormat/>
    <w:uiPriority w:val="0"/>
    <w:pPr>
      <w:adjustRightInd/>
      <w:spacing w:line="240" w:lineRule="auto"/>
      <w:jc w:val="left"/>
    </w:pPr>
  </w:style>
  <w:style w:type="paragraph" w:customStyle="1" w:styleId="151">
    <w:name w:val="目录 51"/>
    <w:basedOn w:val="1"/>
    <w:next w:val="1"/>
    <w:autoRedefine/>
    <w:semiHidden/>
    <w:qFormat/>
    <w:uiPriority w:val="0"/>
    <w:pPr>
      <w:spacing w:line="240" w:lineRule="auto"/>
    </w:pPr>
    <w:rPr>
      <w:rFonts w:ascii="宋体" w:hAnsi="宋体"/>
    </w:rPr>
  </w:style>
  <w:style w:type="paragraph" w:customStyle="1" w:styleId="152">
    <w:name w:val="目录 61"/>
    <w:basedOn w:val="1"/>
    <w:next w:val="1"/>
    <w:autoRedefine/>
    <w:semiHidden/>
    <w:qFormat/>
    <w:uiPriority w:val="0"/>
    <w:pPr>
      <w:adjustRightInd/>
      <w:spacing w:line="240" w:lineRule="auto"/>
      <w:jc w:val="left"/>
    </w:pPr>
  </w:style>
  <w:style w:type="paragraph" w:customStyle="1" w:styleId="153">
    <w:name w:val="目录 71"/>
    <w:basedOn w:val="152"/>
    <w:autoRedefine/>
    <w:semiHidden/>
    <w:qFormat/>
    <w:uiPriority w:val="0"/>
    <w:pPr>
      <w:ind w:left="1260"/>
    </w:pPr>
  </w:style>
  <w:style w:type="paragraph" w:customStyle="1" w:styleId="154">
    <w:name w:val="目录 81"/>
    <w:basedOn w:val="153"/>
    <w:autoRedefine/>
    <w:semiHidden/>
    <w:qFormat/>
    <w:uiPriority w:val="0"/>
    <w:pPr>
      <w:ind w:left="1470"/>
    </w:pPr>
  </w:style>
  <w:style w:type="paragraph" w:customStyle="1" w:styleId="155">
    <w:name w:val="目录 91"/>
    <w:basedOn w:val="154"/>
    <w:autoRedefine/>
    <w:semiHidden/>
    <w:qFormat/>
    <w:uiPriority w:val="0"/>
    <w:pPr>
      <w:ind w:left="1680"/>
    </w:pPr>
  </w:style>
  <w:style w:type="paragraph" w:customStyle="1" w:styleId="156">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7">
    <w:name w:val="其他发布部门"/>
    <w:basedOn w:val="125"/>
    <w:qFormat/>
    <w:uiPriority w:val="0"/>
    <w:pPr>
      <w:framePr w:wrap="around"/>
      <w:spacing w:line="0" w:lineRule="atLeast"/>
    </w:pPr>
    <w:rPr>
      <w:rFonts w:ascii="黑体" w:eastAsia="黑体"/>
      <w:b w:val="0"/>
    </w:rPr>
  </w:style>
  <w:style w:type="paragraph" w:customStyle="1" w:styleId="158">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9">
    <w:name w:val="三级无标题条"/>
    <w:basedOn w:val="1"/>
    <w:qFormat/>
    <w:uiPriority w:val="0"/>
    <w:pPr>
      <w:adjustRightInd/>
      <w:spacing w:line="240" w:lineRule="auto"/>
    </w:pPr>
    <w:rPr>
      <w:rFonts w:ascii="宋体" w:hAnsi="宋体"/>
      <w:szCs w:val="24"/>
    </w:rPr>
  </w:style>
  <w:style w:type="paragraph" w:customStyle="1" w:styleId="160">
    <w:name w:val="实施日期"/>
    <w:basedOn w:val="126"/>
    <w:qFormat/>
    <w:uiPriority w:val="0"/>
    <w:pPr>
      <w:framePr w:hSpace="0" w:wrap="around" w:xAlign="right"/>
      <w:jc w:val="right"/>
    </w:pPr>
  </w:style>
  <w:style w:type="paragraph" w:customStyle="1" w:styleId="161">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2">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3">
    <w:name w:val="无标题条"/>
    <w:next w:val="62"/>
    <w:qFormat/>
    <w:uiPriority w:val="0"/>
    <w:pPr>
      <w:jc w:val="both"/>
    </w:pPr>
    <w:rPr>
      <w:rFonts w:ascii="宋体" w:hAnsi="宋体" w:eastAsia="宋体" w:cs="Times New Roman"/>
      <w:sz w:val="21"/>
      <w:lang w:val="en-US" w:eastAsia="zh-CN" w:bidi="ar-SA"/>
    </w:rPr>
  </w:style>
  <w:style w:type="paragraph" w:customStyle="1" w:styleId="164">
    <w:name w:val="五级无标题条"/>
    <w:basedOn w:val="1"/>
    <w:qFormat/>
    <w:uiPriority w:val="0"/>
    <w:pPr>
      <w:adjustRightInd/>
    </w:pPr>
    <w:rPr>
      <w:szCs w:val="24"/>
    </w:rPr>
  </w:style>
  <w:style w:type="paragraph" w:customStyle="1" w:styleId="165">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6">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7">
    <w:name w:val="注×:后续"/>
    <w:basedOn w:val="166"/>
    <w:qFormat/>
    <w:uiPriority w:val="0"/>
    <w:pPr>
      <w:ind w:left="1406" w:leftChars="0" w:hanging="499" w:firstLineChars="0"/>
    </w:pPr>
  </w:style>
  <w:style w:type="paragraph" w:customStyle="1" w:styleId="168">
    <w:name w:val="标准文件_一级无标题"/>
    <w:basedOn w:val="111"/>
    <w:qFormat/>
    <w:uiPriority w:val="0"/>
    <w:pPr>
      <w:spacing w:before="0" w:beforeLines="0" w:after="0" w:afterLines="0"/>
      <w:outlineLvl w:val="9"/>
    </w:pPr>
    <w:rPr>
      <w:rFonts w:ascii="宋体" w:eastAsia="宋体"/>
    </w:rPr>
  </w:style>
  <w:style w:type="paragraph" w:customStyle="1" w:styleId="169">
    <w:name w:val="标准文件_五级无标题"/>
    <w:basedOn w:val="109"/>
    <w:qFormat/>
    <w:uiPriority w:val="0"/>
    <w:pPr>
      <w:spacing w:before="0" w:beforeLines="0" w:after="0" w:afterLines="0"/>
      <w:outlineLvl w:val="9"/>
    </w:pPr>
    <w:rPr>
      <w:rFonts w:ascii="宋体" w:eastAsia="宋体"/>
    </w:rPr>
  </w:style>
  <w:style w:type="paragraph" w:customStyle="1" w:styleId="170">
    <w:name w:val="标准文件_三级无标题"/>
    <w:basedOn w:val="100"/>
    <w:qFormat/>
    <w:uiPriority w:val="0"/>
    <w:pPr>
      <w:spacing w:before="0" w:beforeLines="0" w:after="0" w:afterLines="0"/>
      <w:outlineLvl w:val="9"/>
    </w:pPr>
    <w:rPr>
      <w:rFonts w:ascii="宋体" w:eastAsia="宋体"/>
    </w:rPr>
  </w:style>
  <w:style w:type="paragraph" w:customStyle="1" w:styleId="171">
    <w:name w:val="标准文件_二级无标题"/>
    <w:basedOn w:val="71"/>
    <w:qFormat/>
    <w:uiPriority w:val="0"/>
    <w:pPr>
      <w:spacing w:before="0" w:beforeLines="0" w:after="0" w:afterLines="0"/>
      <w:outlineLvl w:val="9"/>
    </w:pPr>
    <w:rPr>
      <w:rFonts w:ascii="宋体" w:eastAsia="宋体"/>
    </w:rPr>
  </w:style>
  <w:style w:type="paragraph" w:customStyle="1" w:styleId="172">
    <w:name w:val="标准_四级无标题"/>
    <w:basedOn w:val="104"/>
    <w:next w:val="62"/>
    <w:qFormat/>
    <w:uiPriority w:val="0"/>
    <w:rPr>
      <w:rFonts w:eastAsia="宋体"/>
    </w:rPr>
  </w:style>
  <w:style w:type="paragraph" w:customStyle="1" w:styleId="173">
    <w:name w:val="标准文件_四级无标题"/>
    <w:basedOn w:val="104"/>
    <w:qFormat/>
    <w:uiPriority w:val="0"/>
    <w:pPr>
      <w:spacing w:before="0" w:beforeLines="0" w:after="0" w:afterLines="0"/>
      <w:outlineLvl w:val="9"/>
    </w:pPr>
    <w:rPr>
      <w:rFonts w:ascii="宋体" w:hAnsi="黑体" w:eastAsia="宋体"/>
      <w:szCs w:val="52"/>
    </w:rPr>
  </w:style>
  <w:style w:type="paragraph" w:customStyle="1" w:styleId="174">
    <w:name w:val="标准文件_大写罗马数字编号列项"/>
    <w:basedOn w:val="62"/>
    <w:qFormat/>
    <w:uiPriority w:val="0"/>
    <w:pPr>
      <w:numPr>
        <w:ilvl w:val="0"/>
        <w:numId w:val="23"/>
      </w:numPr>
      <w:ind w:firstLine="0" w:firstLineChars="0"/>
    </w:pPr>
    <w:rPr>
      <w:rFonts w:ascii="Times New Roman" w:cs="Arial"/>
      <w:szCs w:val="28"/>
    </w:rPr>
  </w:style>
  <w:style w:type="paragraph" w:customStyle="1" w:styleId="175">
    <w:name w:val="标准文件_小写罗马数字编号列项"/>
    <w:basedOn w:val="62"/>
    <w:qFormat/>
    <w:uiPriority w:val="0"/>
    <w:pPr>
      <w:numPr>
        <w:ilvl w:val="0"/>
        <w:numId w:val="24"/>
      </w:numPr>
      <w:ind w:firstLine="0" w:firstLineChars="0"/>
    </w:pPr>
    <w:rPr>
      <w:rFonts w:cs="Arial"/>
      <w:szCs w:val="28"/>
    </w:rPr>
  </w:style>
  <w:style w:type="paragraph" w:customStyle="1" w:styleId="176">
    <w:name w:val="标准文件_附录标题"/>
    <w:basedOn w:val="82"/>
    <w:qFormat/>
    <w:uiPriority w:val="0"/>
    <w:pPr>
      <w:spacing w:after="280"/>
      <w:outlineLvl w:val="9"/>
    </w:pPr>
  </w:style>
  <w:style w:type="paragraph" w:customStyle="1" w:styleId="177">
    <w:name w:val="标准文件_二级项"/>
    <w:qFormat/>
    <w:uiPriority w:val="0"/>
    <w:rPr>
      <w:rFonts w:ascii="宋体" w:hAnsi="Times New Roman" w:eastAsia="宋体" w:cs="Times New Roman"/>
      <w:sz w:val="21"/>
      <w:lang w:val="en-US" w:eastAsia="zh-CN" w:bidi="ar-SA"/>
    </w:rPr>
  </w:style>
  <w:style w:type="paragraph" w:customStyle="1" w:styleId="178">
    <w:name w:val="标准文件_三级项"/>
    <w:basedOn w:val="1"/>
    <w:qFormat/>
    <w:uiPriority w:val="0"/>
    <w:pPr>
      <w:numPr>
        <w:ilvl w:val="2"/>
        <w:numId w:val="21"/>
      </w:numPr>
      <w:spacing w:line="536870612" w:lineRule="auto"/>
    </w:pPr>
    <w:rPr>
      <w:rFonts w:ascii="Times New Roman" w:hAnsi="Times New Roman"/>
    </w:rPr>
  </w:style>
  <w:style w:type="paragraph" w:customStyle="1" w:styleId="179">
    <w:name w:val="图表脚注说明"/>
    <w:basedOn w:val="1"/>
    <w:next w:val="62"/>
    <w:qFormat/>
    <w:uiPriority w:val="0"/>
    <w:pPr>
      <w:numPr>
        <w:ilvl w:val="0"/>
        <w:numId w:val="25"/>
      </w:numPr>
      <w:adjustRightInd/>
      <w:spacing w:line="240" w:lineRule="auto"/>
    </w:pPr>
    <w:rPr>
      <w:rFonts w:ascii="宋体" w:hAnsi="Times New Roman"/>
      <w:sz w:val="18"/>
      <w:szCs w:val="18"/>
    </w:rPr>
  </w:style>
  <w:style w:type="paragraph" w:customStyle="1" w:styleId="180">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81">
    <w:name w:val="标准文件_索引字母"/>
    <w:next w:val="62"/>
    <w:qFormat/>
    <w:uiPriority w:val="0"/>
    <w:pPr>
      <w:jc w:val="center"/>
    </w:pPr>
    <w:rPr>
      <w:rFonts w:ascii="宋体" w:hAnsi="宋体" w:eastAsia="Times New Roman" w:cs="Times New Roman"/>
      <w:b/>
      <w:kern w:val="2"/>
      <w:sz w:val="21"/>
      <w:lang w:val="en-US" w:eastAsia="zh-CN" w:bidi="ar-SA"/>
    </w:rPr>
  </w:style>
  <w:style w:type="paragraph" w:customStyle="1" w:styleId="182">
    <w:name w:val="标准文件_附录前"/>
    <w:next w:val="62"/>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3">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4">
    <w:name w:val="标准文件_表格"/>
    <w:basedOn w:val="62"/>
    <w:qFormat/>
    <w:uiPriority w:val="0"/>
    <w:pPr>
      <w:ind w:firstLine="0" w:firstLineChars="0"/>
      <w:jc w:val="center"/>
    </w:pPr>
    <w:rPr>
      <w:sz w:val="18"/>
    </w:rPr>
  </w:style>
  <w:style w:type="paragraph" w:customStyle="1" w:styleId="185">
    <w:name w:val="标准文件_注："/>
    <w:next w:val="62"/>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6">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7">
    <w:name w:val="标准文件_示例："/>
    <w:next w:val="188"/>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8">
    <w:name w:val="标准文件_示例内容"/>
    <w:basedOn w:val="62"/>
    <w:qFormat/>
    <w:uiPriority w:val="0"/>
    <w:pPr>
      <w:ind w:firstLine="420"/>
    </w:pPr>
    <w:rPr>
      <w:sz w:val="18"/>
    </w:rPr>
  </w:style>
  <w:style w:type="paragraph" w:customStyle="1" w:styleId="189">
    <w:name w:val="标准文件_示例×："/>
    <w:basedOn w:val="1"/>
    <w:next w:val="188"/>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90">
    <w:name w:val="标准文件_段 Char"/>
    <w:link w:val="62"/>
    <w:qFormat/>
    <w:uiPriority w:val="0"/>
    <w:rPr>
      <w:rFonts w:ascii="宋体" w:hAnsi="Times New Roman"/>
      <w:sz w:val="21"/>
    </w:rPr>
  </w:style>
  <w:style w:type="paragraph" w:customStyle="1" w:styleId="191">
    <w:name w:val="标准文件_表格续"/>
    <w:basedOn w:val="62"/>
    <w:next w:val="62"/>
    <w:qFormat/>
    <w:uiPriority w:val="0"/>
    <w:pPr>
      <w:jc w:val="center"/>
    </w:pPr>
    <w:rPr>
      <w:rFonts w:ascii="黑体" w:hAnsi="黑体" w:eastAsia="黑体"/>
    </w:rPr>
  </w:style>
  <w:style w:type="character" w:styleId="192">
    <w:name w:val="Placeholder Text"/>
    <w:basedOn w:val="32"/>
    <w:semiHidden/>
    <w:qFormat/>
    <w:uiPriority w:val="99"/>
    <w:rPr>
      <w:color w:val="808080"/>
    </w:rPr>
  </w:style>
  <w:style w:type="paragraph" w:customStyle="1" w:styleId="193">
    <w:name w:val="标准文件_二级项2"/>
    <w:basedOn w:val="62"/>
    <w:qFormat/>
    <w:uiPriority w:val="0"/>
    <w:pPr>
      <w:numPr>
        <w:ilvl w:val="1"/>
        <w:numId w:val="21"/>
      </w:numPr>
      <w:ind w:firstLine="0" w:firstLineChars="0"/>
    </w:pPr>
  </w:style>
  <w:style w:type="paragraph" w:customStyle="1" w:styleId="194">
    <w:name w:val="标准文件_三级项2"/>
    <w:basedOn w:val="62"/>
    <w:qFormat/>
    <w:uiPriority w:val="0"/>
    <w:pPr>
      <w:numPr>
        <w:ilvl w:val="0"/>
        <w:numId w:val="30"/>
      </w:numPr>
      <w:spacing w:line="300" w:lineRule="exact"/>
      <w:ind w:firstLineChars="0"/>
    </w:pPr>
    <w:rPr>
      <w:rFonts w:ascii="Times New Roman"/>
    </w:rPr>
  </w:style>
  <w:style w:type="paragraph" w:customStyle="1" w:styleId="195">
    <w:name w:val="标准文件_一级项2"/>
    <w:basedOn w:val="62"/>
    <w:qFormat/>
    <w:uiPriority w:val="0"/>
    <w:pPr>
      <w:numPr>
        <w:ilvl w:val="0"/>
        <w:numId w:val="31"/>
      </w:numPr>
      <w:spacing w:line="300" w:lineRule="exact"/>
      <w:ind w:firstLineChars="0"/>
    </w:pPr>
    <w:rPr>
      <w:rFonts w:ascii="Times New Roman"/>
    </w:rPr>
  </w:style>
  <w:style w:type="paragraph" w:customStyle="1" w:styleId="196">
    <w:name w:val="标准文件_提示"/>
    <w:basedOn w:val="62"/>
    <w:next w:val="62"/>
    <w:qFormat/>
    <w:uiPriority w:val="0"/>
    <w:pPr>
      <w:ind w:firstLine="420"/>
    </w:pPr>
    <w:rPr>
      <w:rFonts w:ascii="黑体" w:eastAsia="黑体"/>
    </w:rPr>
  </w:style>
  <w:style w:type="character" w:customStyle="1" w:styleId="197">
    <w:name w:val="标准文件_来源"/>
    <w:basedOn w:val="32"/>
    <w:qFormat/>
    <w:uiPriority w:val="1"/>
    <w:rPr>
      <w:rFonts w:eastAsia="宋体"/>
      <w:sz w:val="21"/>
    </w:rPr>
  </w:style>
  <w:style w:type="paragraph" w:customStyle="1" w:styleId="198">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9">
    <w:name w:val="其他发布日期"/>
    <w:basedOn w:val="126"/>
    <w:qFormat/>
    <w:uiPriority w:val="0"/>
    <w:pPr>
      <w:framePr w:w="3997" w:h="471" w:hRule="exact" w:hSpace="0" w:vSpace="181" w:wrap="around" w:vAnchor="page" w:hAnchor="page" w:x="1419" w:y="14097"/>
    </w:pPr>
  </w:style>
  <w:style w:type="paragraph" w:customStyle="1" w:styleId="200">
    <w:name w:val="其他实施日期"/>
    <w:basedOn w:val="160"/>
    <w:qFormat/>
    <w:uiPriority w:val="0"/>
    <w:pPr>
      <w:framePr w:w="3997" w:h="471" w:hRule="exact" w:vSpace="181" w:wrap="around" w:vAnchor="page" w:hAnchor="page" w:x="7089" w:y="14097"/>
    </w:pPr>
  </w:style>
  <w:style w:type="paragraph" w:customStyle="1" w:styleId="201">
    <w:name w:val="标准文件_文件编号"/>
    <w:basedOn w:val="62"/>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2">
    <w:name w:val="标准文件_替换文件编号"/>
    <w:basedOn w:val="201"/>
    <w:qFormat/>
    <w:uiPriority w:val="0"/>
    <w:pPr>
      <w:spacing w:before="57"/>
    </w:pPr>
    <w:rPr>
      <w:sz w:val="21"/>
    </w:rPr>
  </w:style>
  <w:style w:type="paragraph" w:customStyle="1" w:styleId="203">
    <w:name w:val="标准文件_文件名称"/>
    <w:basedOn w:val="62"/>
    <w:next w:val="62"/>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4">
    <w:name w:val="标准文件_附录图标号"/>
    <w:basedOn w:val="62"/>
    <w:next w:val="62"/>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5">
    <w:name w:val="标准文件_附录表标号"/>
    <w:basedOn w:val="62"/>
    <w:next w:val="62"/>
    <w:qFormat/>
    <w:uiPriority w:val="0"/>
    <w:pPr>
      <w:numPr>
        <w:ilvl w:val="0"/>
        <w:numId w:val="4"/>
      </w:numPr>
      <w:spacing w:line="14" w:lineRule="exact"/>
      <w:ind w:firstLine="0" w:firstLineChars="0"/>
      <w:jc w:val="center"/>
    </w:pPr>
    <w:rPr>
      <w:rFonts w:eastAsia="黑体"/>
      <w:vanish/>
      <w:sz w:val="2"/>
    </w:rPr>
  </w:style>
  <w:style w:type="paragraph" w:customStyle="1" w:styleId="206">
    <w:name w:val="标准文件_引言一级条标题"/>
    <w:basedOn w:val="62"/>
    <w:next w:val="62"/>
    <w:qFormat/>
    <w:uiPriority w:val="0"/>
    <w:pPr>
      <w:spacing w:before="50" w:beforeLines="50" w:after="50" w:afterLines="50"/>
      <w:ind w:firstLine="0" w:firstLineChars="0"/>
    </w:pPr>
    <w:rPr>
      <w:rFonts w:ascii="黑体" w:eastAsia="黑体"/>
    </w:rPr>
  </w:style>
  <w:style w:type="paragraph" w:customStyle="1" w:styleId="207">
    <w:name w:val="标准文件_引言二级条标题"/>
    <w:basedOn w:val="62"/>
    <w:next w:val="62"/>
    <w:qFormat/>
    <w:uiPriority w:val="0"/>
    <w:pPr>
      <w:spacing w:before="50" w:beforeLines="50" w:after="50" w:afterLines="50"/>
      <w:ind w:firstLine="0" w:firstLineChars="0"/>
    </w:pPr>
    <w:rPr>
      <w:rFonts w:ascii="黑体" w:eastAsia="黑体"/>
    </w:rPr>
  </w:style>
  <w:style w:type="paragraph" w:customStyle="1" w:styleId="208">
    <w:name w:val="标准文件_引言三级条标题"/>
    <w:basedOn w:val="62"/>
    <w:next w:val="62"/>
    <w:qFormat/>
    <w:uiPriority w:val="0"/>
    <w:pPr>
      <w:spacing w:before="50" w:beforeLines="50" w:after="50" w:afterLines="50"/>
      <w:ind w:firstLine="0" w:firstLineChars="0"/>
    </w:pPr>
    <w:rPr>
      <w:rFonts w:ascii="黑体" w:eastAsia="黑体"/>
    </w:rPr>
  </w:style>
  <w:style w:type="paragraph" w:customStyle="1" w:styleId="209">
    <w:name w:val="标准文件_引言四级条标题"/>
    <w:basedOn w:val="62"/>
    <w:next w:val="62"/>
    <w:qFormat/>
    <w:uiPriority w:val="0"/>
    <w:pPr>
      <w:numPr>
        <w:ilvl w:val="4"/>
        <w:numId w:val="8"/>
      </w:numPr>
      <w:spacing w:before="50" w:beforeLines="50" w:after="50" w:afterLines="50"/>
      <w:ind w:firstLineChars="0"/>
    </w:pPr>
    <w:rPr>
      <w:rFonts w:ascii="黑体" w:eastAsia="黑体"/>
    </w:rPr>
  </w:style>
  <w:style w:type="paragraph" w:customStyle="1" w:styleId="210">
    <w:name w:val="标准文件_引言五级条标题"/>
    <w:basedOn w:val="62"/>
    <w:next w:val="62"/>
    <w:qFormat/>
    <w:uiPriority w:val="0"/>
    <w:pPr>
      <w:numPr>
        <w:ilvl w:val="5"/>
        <w:numId w:val="8"/>
      </w:numPr>
      <w:spacing w:before="50" w:beforeLines="50" w:after="50" w:afterLines="50"/>
      <w:ind w:firstLineChars="0"/>
    </w:pPr>
    <w:rPr>
      <w:rFonts w:ascii="黑体" w:eastAsia="黑体"/>
    </w:rPr>
  </w:style>
  <w:style w:type="paragraph" w:customStyle="1" w:styleId="211">
    <w:name w:val="标准文件_注后"/>
    <w:basedOn w:val="62"/>
    <w:qFormat/>
    <w:uiPriority w:val="0"/>
    <w:pPr>
      <w:ind w:left="811" w:firstLine="0" w:firstLineChars="0"/>
    </w:pPr>
    <w:rPr>
      <w:sz w:val="18"/>
    </w:rPr>
  </w:style>
  <w:style w:type="paragraph" w:customStyle="1" w:styleId="212">
    <w:name w:val="标准文件_注X后"/>
    <w:basedOn w:val="62"/>
    <w:qFormat/>
    <w:uiPriority w:val="0"/>
    <w:pPr>
      <w:ind w:left="811" w:firstLine="0" w:firstLineChars="0"/>
    </w:pPr>
    <w:rPr>
      <w:sz w:val="18"/>
    </w:rPr>
  </w:style>
  <w:style w:type="paragraph" w:customStyle="1" w:styleId="213">
    <w:name w:val="标准文件_示例后"/>
    <w:basedOn w:val="62"/>
    <w:qFormat/>
    <w:uiPriority w:val="0"/>
    <w:pPr>
      <w:ind w:left="964" w:firstLine="0" w:firstLineChars="0"/>
    </w:pPr>
    <w:rPr>
      <w:sz w:val="18"/>
    </w:rPr>
  </w:style>
  <w:style w:type="paragraph" w:customStyle="1" w:styleId="214">
    <w:name w:val="标准文件_示例X后"/>
    <w:basedOn w:val="62"/>
    <w:link w:val="215"/>
    <w:qFormat/>
    <w:uiPriority w:val="0"/>
    <w:pPr>
      <w:ind w:left="1049" w:firstLine="0" w:firstLineChars="0"/>
    </w:pPr>
    <w:rPr>
      <w:sz w:val="18"/>
    </w:rPr>
  </w:style>
  <w:style w:type="character" w:customStyle="1" w:styleId="215">
    <w:name w:val="标准文件_示例X后 字符"/>
    <w:basedOn w:val="190"/>
    <w:link w:val="214"/>
    <w:qFormat/>
    <w:uiPriority w:val="0"/>
    <w:rPr>
      <w:rFonts w:ascii="宋体" w:hAnsi="Times New Roman"/>
      <w:sz w:val="18"/>
    </w:rPr>
  </w:style>
  <w:style w:type="paragraph" w:customStyle="1" w:styleId="216">
    <w:name w:val="标准文件_索引项"/>
    <w:basedOn w:val="62"/>
    <w:next w:val="62"/>
    <w:qFormat/>
    <w:uiPriority w:val="0"/>
    <w:pPr>
      <w:tabs>
        <w:tab w:val="right" w:leader="dot" w:pos="9356"/>
      </w:tabs>
      <w:ind w:left="210" w:hanging="210" w:firstLineChars="0"/>
      <w:jc w:val="left"/>
    </w:pPr>
  </w:style>
  <w:style w:type="paragraph" w:customStyle="1" w:styleId="217">
    <w:name w:val="标准文件_附录一级无标题"/>
    <w:basedOn w:val="84"/>
    <w:qFormat/>
    <w:uiPriority w:val="0"/>
    <w:pPr>
      <w:spacing w:before="0" w:beforeLines="0" w:after="0" w:afterLines="0" w:line="276" w:lineRule="auto"/>
      <w:outlineLvl w:val="9"/>
    </w:pPr>
    <w:rPr>
      <w:rFonts w:ascii="宋体" w:eastAsia="宋体"/>
    </w:rPr>
  </w:style>
  <w:style w:type="paragraph" w:customStyle="1" w:styleId="218">
    <w:name w:val="标准文件_附录二级无标题"/>
    <w:basedOn w:val="85"/>
    <w:qFormat/>
    <w:uiPriority w:val="0"/>
    <w:pPr>
      <w:spacing w:before="0" w:beforeLines="0" w:after="0" w:afterLines="0" w:line="276" w:lineRule="auto"/>
      <w:outlineLvl w:val="9"/>
    </w:pPr>
    <w:rPr>
      <w:rFonts w:ascii="宋体" w:eastAsia="宋体"/>
    </w:rPr>
  </w:style>
  <w:style w:type="paragraph" w:customStyle="1" w:styleId="219">
    <w:name w:val="标准文件_附录三级无标题"/>
    <w:basedOn w:val="87"/>
    <w:qFormat/>
    <w:uiPriority w:val="0"/>
    <w:pPr>
      <w:spacing w:before="0" w:beforeLines="0" w:after="0" w:afterLines="0" w:line="276" w:lineRule="auto"/>
      <w:outlineLvl w:val="9"/>
    </w:pPr>
    <w:rPr>
      <w:rFonts w:ascii="宋体" w:eastAsia="宋体"/>
    </w:rPr>
  </w:style>
  <w:style w:type="paragraph" w:customStyle="1" w:styleId="220">
    <w:name w:val="标准文件_附录四级无标题"/>
    <w:basedOn w:val="88"/>
    <w:qFormat/>
    <w:uiPriority w:val="0"/>
    <w:pPr>
      <w:spacing w:before="0" w:beforeLines="0" w:after="0" w:afterLines="0" w:line="276" w:lineRule="auto"/>
      <w:outlineLvl w:val="9"/>
    </w:pPr>
    <w:rPr>
      <w:rFonts w:ascii="宋体" w:eastAsia="宋体"/>
    </w:rPr>
  </w:style>
  <w:style w:type="paragraph" w:customStyle="1" w:styleId="221">
    <w:name w:val="标准文件_附录五级无标题"/>
    <w:basedOn w:val="90"/>
    <w:qFormat/>
    <w:uiPriority w:val="0"/>
    <w:pPr>
      <w:spacing w:before="0" w:beforeLines="0" w:after="0" w:afterLines="0" w:line="276" w:lineRule="auto"/>
      <w:outlineLvl w:val="9"/>
    </w:pPr>
    <w:rPr>
      <w:rFonts w:ascii="宋体" w:eastAsia="宋体"/>
    </w:rPr>
  </w:style>
  <w:style w:type="paragraph" w:customStyle="1" w:styleId="222">
    <w:name w:val="标准文件_引言一级无标题"/>
    <w:basedOn w:val="206"/>
    <w:next w:val="62"/>
    <w:qFormat/>
    <w:uiPriority w:val="0"/>
    <w:pPr>
      <w:spacing w:before="0" w:beforeLines="0" w:after="0" w:afterLines="0" w:line="276" w:lineRule="auto"/>
    </w:pPr>
    <w:rPr>
      <w:rFonts w:ascii="宋体" w:eastAsia="宋体"/>
    </w:rPr>
  </w:style>
  <w:style w:type="paragraph" w:customStyle="1" w:styleId="223">
    <w:name w:val="标准文件_引言二级无标题"/>
    <w:basedOn w:val="207"/>
    <w:next w:val="62"/>
    <w:qFormat/>
    <w:uiPriority w:val="0"/>
    <w:pPr>
      <w:spacing w:before="0" w:beforeLines="0" w:after="0" w:afterLines="0" w:line="276" w:lineRule="auto"/>
    </w:pPr>
    <w:rPr>
      <w:rFonts w:ascii="宋体" w:eastAsia="宋体"/>
    </w:rPr>
  </w:style>
  <w:style w:type="paragraph" w:customStyle="1" w:styleId="224">
    <w:name w:val="标准文件_引言三级无标题"/>
    <w:basedOn w:val="208"/>
    <w:qFormat/>
    <w:uiPriority w:val="0"/>
    <w:pPr>
      <w:spacing w:before="0" w:beforeLines="0" w:after="0" w:afterLines="0" w:line="276" w:lineRule="auto"/>
    </w:pPr>
    <w:rPr>
      <w:rFonts w:ascii="宋体" w:eastAsia="宋体"/>
    </w:rPr>
  </w:style>
  <w:style w:type="paragraph" w:customStyle="1" w:styleId="225">
    <w:name w:val="标准文件_引言四级无标题"/>
    <w:basedOn w:val="209"/>
    <w:next w:val="62"/>
    <w:qFormat/>
    <w:uiPriority w:val="0"/>
    <w:pPr>
      <w:spacing w:before="0" w:beforeLines="0" w:after="0" w:afterLines="0" w:line="276" w:lineRule="auto"/>
    </w:pPr>
    <w:rPr>
      <w:rFonts w:ascii="宋体" w:eastAsia="宋体"/>
    </w:rPr>
  </w:style>
  <w:style w:type="paragraph" w:customStyle="1" w:styleId="226">
    <w:name w:val="标准文件_引言五级无标题"/>
    <w:basedOn w:val="210"/>
    <w:next w:val="62"/>
    <w:qFormat/>
    <w:uiPriority w:val="0"/>
    <w:pPr>
      <w:spacing w:before="0" w:beforeLines="0" w:after="0" w:afterLines="0" w:line="276" w:lineRule="auto"/>
    </w:pPr>
    <w:rPr>
      <w:rFonts w:ascii="宋体" w:eastAsia="宋体"/>
    </w:rPr>
  </w:style>
  <w:style w:type="paragraph" w:customStyle="1" w:styleId="227">
    <w:name w:val="标准文件_索引标题"/>
    <w:basedOn w:val="69"/>
    <w:next w:val="62"/>
    <w:qFormat/>
    <w:uiPriority w:val="0"/>
    <w:rPr>
      <w:rFonts w:hAnsi="黑体"/>
    </w:rPr>
  </w:style>
  <w:style w:type="paragraph" w:customStyle="1" w:styleId="228">
    <w:name w:val="标准文件_脚注内容"/>
    <w:basedOn w:val="62"/>
    <w:qFormat/>
    <w:uiPriority w:val="0"/>
    <w:pPr>
      <w:ind w:left="400" w:leftChars="200" w:hanging="200" w:hangingChars="200"/>
    </w:pPr>
    <w:rPr>
      <w:sz w:val="15"/>
    </w:rPr>
  </w:style>
  <w:style w:type="paragraph" w:customStyle="1" w:styleId="229">
    <w:name w:val="标准文件_术语条一"/>
    <w:basedOn w:val="168"/>
    <w:next w:val="62"/>
    <w:qFormat/>
    <w:uiPriority w:val="0"/>
  </w:style>
  <w:style w:type="paragraph" w:customStyle="1" w:styleId="230">
    <w:name w:val="标准文件_术语条二"/>
    <w:basedOn w:val="171"/>
    <w:next w:val="62"/>
    <w:qFormat/>
    <w:uiPriority w:val="0"/>
  </w:style>
  <w:style w:type="paragraph" w:customStyle="1" w:styleId="231">
    <w:name w:val="标准文件_术语条三"/>
    <w:basedOn w:val="170"/>
    <w:next w:val="62"/>
    <w:qFormat/>
    <w:uiPriority w:val="0"/>
  </w:style>
  <w:style w:type="paragraph" w:customStyle="1" w:styleId="232">
    <w:name w:val="标准文件_术语条四"/>
    <w:basedOn w:val="173"/>
    <w:next w:val="62"/>
    <w:qFormat/>
    <w:uiPriority w:val="0"/>
  </w:style>
  <w:style w:type="paragraph" w:customStyle="1" w:styleId="233">
    <w:name w:val="标准文件_术语条五"/>
    <w:basedOn w:val="169"/>
    <w:next w:val="62"/>
    <w:qFormat/>
    <w:uiPriority w:val="0"/>
  </w:style>
  <w:style w:type="paragraph" w:customStyle="1" w:styleId="23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5">
    <w:name w:val="发布"/>
    <w:basedOn w:val="32"/>
    <w:qFormat/>
    <w:uiPriority w:val="0"/>
    <w:rPr>
      <w:rFonts w:ascii="黑体" w:eastAsia="黑体"/>
      <w:spacing w:val="85"/>
      <w:w w:val="100"/>
      <w:position w:val="3"/>
      <w:sz w:val="28"/>
      <w:szCs w:val="28"/>
    </w:rPr>
  </w:style>
  <w:style w:type="paragraph" w:customStyle="1" w:styleId="236">
    <w:name w:val="Table Text"/>
    <w:basedOn w:val="1"/>
    <w:semiHidden/>
    <w:qFormat/>
    <w:uiPriority w:val="0"/>
    <w:pPr>
      <w:widowControl/>
      <w:kinsoku w:val="0"/>
      <w:autoSpaceDE w:val="0"/>
      <w:autoSpaceDN w:val="0"/>
      <w:snapToGrid w:val="0"/>
      <w:spacing w:line="240" w:lineRule="auto"/>
      <w:jc w:val="left"/>
      <w:textAlignment w:val="baseline"/>
    </w:pPr>
    <w:rPr>
      <w:rFonts w:ascii="宋体" w:hAnsi="宋体" w:cs="宋体"/>
      <w:color w:val="000000"/>
      <w:kern w:val="0"/>
      <w:sz w:val="17"/>
      <w:szCs w:val="17"/>
    </w:rPr>
  </w:style>
  <w:style w:type="paragraph" w:styleId="237">
    <w:name w:val="List Paragraph"/>
    <w:basedOn w:val="1"/>
    <w:qFormat/>
    <w:uiPriority w:val="34"/>
    <w:pPr>
      <w:ind w:firstLine="420" w:firstLineChars="200"/>
    </w:pPr>
  </w:style>
  <w:style w:type="character" w:customStyle="1" w:styleId="238">
    <w:name w:val="未处理的提及1"/>
    <w:basedOn w:val="32"/>
    <w:semiHidden/>
    <w:unhideWhenUsed/>
    <w:qFormat/>
    <w:uiPriority w:val="99"/>
    <w:rPr>
      <w:color w:val="605E5C"/>
      <w:shd w:val="clear" w:color="auto" w:fill="E1DFDD"/>
    </w:rPr>
  </w:style>
  <w:style w:type="paragraph" w:customStyle="1" w:styleId="239">
    <w:name w:val="修订1"/>
    <w:hidden/>
    <w:semiHidden/>
    <w:qFormat/>
    <w:uiPriority w:val="99"/>
    <w:rPr>
      <w:rFonts w:ascii="Calibri" w:hAnsi="Calibri" w:eastAsia="宋体" w:cs="Times New Roman"/>
      <w:kern w:val="2"/>
      <w:sz w:val="21"/>
      <w:szCs w:val="21"/>
      <w:lang w:val="en-US" w:eastAsia="zh-CN" w:bidi="ar-SA"/>
    </w:rPr>
  </w:style>
  <w:style w:type="paragraph" w:customStyle="1" w:styleId="240">
    <w:name w:val="修订2"/>
    <w:hidden/>
    <w:unhideWhenUsed/>
    <w:qFormat/>
    <w:uiPriority w:val="99"/>
    <w:rPr>
      <w:rFonts w:ascii="Calibri" w:hAnsi="Calibri" w:eastAsia="宋体" w:cs="Times New Roman"/>
      <w:kern w:val="2"/>
      <w:sz w:val="21"/>
      <w:szCs w:val="21"/>
      <w:lang w:val="en-US" w:eastAsia="zh-CN" w:bidi="ar-SA"/>
    </w:rPr>
  </w:style>
  <w:style w:type="paragraph" w:customStyle="1" w:styleId="241">
    <w:name w:val="修订3"/>
    <w:hidden/>
    <w:unhideWhenUsed/>
    <w:qFormat/>
    <w:uiPriority w:val="99"/>
    <w:rPr>
      <w:rFonts w:ascii="Calibri" w:hAnsi="Calibri" w:eastAsia="宋体" w:cs="Times New Roman"/>
      <w:kern w:val="2"/>
      <w:sz w:val="21"/>
      <w:szCs w:val="21"/>
      <w:lang w:val="en-US" w:eastAsia="zh-CN" w:bidi="ar-SA"/>
    </w:rPr>
  </w:style>
  <w:style w:type="character" w:customStyle="1" w:styleId="242">
    <w:name w:val="批注文字 字符"/>
    <w:basedOn w:val="32"/>
    <w:link w:val="13"/>
    <w:qFormat/>
    <w:uiPriority w:val="99"/>
    <w:rPr>
      <w:kern w:val="2"/>
      <w:sz w:val="21"/>
      <w:szCs w:val="21"/>
    </w:rPr>
  </w:style>
  <w:style w:type="character" w:customStyle="1" w:styleId="243">
    <w:name w:val="批注主题 字符"/>
    <w:basedOn w:val="242"/>
    <w:link w:val="29"/>
    <w:semiHidden/>
    <w:qFormat/>
    <w:uiPriority w:val="99"/>
    <w:rPr>
      <w:b/>
      <w:bCs/>
      <w:kern w:val="2"/>
      <w:sz w:val="21"/>
      <w:szCs w:val="21"/>
    </w:rPr>
  </w:style>
  <w:style w:type="paragraph" w:customStyle="1" w:styleId="244">
    <w:name w:val="修订4"/>
    <w:hidden/>
    <w:unhideWhenUsed/>
    <w:qFormat/>
    <w:uiPriority w:val="99"/>
    <w:rPr>
      <w:rFonts w:ascii="Calibri" w:hAnsi="Calibri" w:eastAsia="宋体" w:cs="Times New Roman"/>
      <w:kern w:val="2"/>
      <w:sz w:val="21"/>
      <w:szCs w:val="21"/>
      <w:lang w:val="en-US" w:eastAsia="zh-CN" w:bidi="ar-SA"/>
    </w:rPr>
  </w:style>
  <w:style w:type="paragraph" w:customStyle="1" w:styleId="245">
    <w:name w:val="修订5"/>
    <w:hidden/>
    <w:unhideWhenUsed/>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1" Type="http://schemas.openxmlformats.org/officeDocument/2006/relationships/glossaryDocument" Target="glossary/document.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customXml" Target="../customXml/item2.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2.jpeg"/><Relationship Id="rId25" Type="http://schemas.openxmlformats.org/officeDocument/2006/relationships/image" Target="media/image11.png"/><Relationship Id="rId24" Type="http://schemas.openxmlformats.org/officeDocument/2006/relationships/image" Target="media/image10.png"/><Relationship Id="rId23" Type="http://schemas.openxmlformats.org/officeDocument/2006/relationships/image" Target="media/image9.png"/><Relationship Id="rId22" Type="http://schemas.openxmlformats.org/officeDocument/2006/relationships/image" Target="media/image8.png"/><Relationship Id="rId21" Type="http://schemas.openxmlformats.org/officeDocument/2006/relationships/image" Target="media/image7.png"/><Relationship Id="rId20" Type="http://schemas.openxmlformats.org/officeDocument/2006/relationships/image" Target="media/image6.png"/><Relationship Id="rId2" Type="http://schemas.openxmlformats.org/officeDocument/2006/relationships/settings" Target="settings.xml"/><Relationship Id="rId19" Type="http://schemas.openxmlformats.org/officeDocument/2006/relationships/image" Target="media/image5.png"/><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34892;&#19994;&#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5422906BAEED400C9B9FA8D8B3A4962F"/>
        <w:style w:val=""/>
        <w:category>
          <w:name w:val="常规"/>
          <w:gallery w:val="placeholder"/>
        </w:category>
        <w:types>
          <w:type w:val="bbPlcHdr"/>
        </w:types>
        <w:behaviors>
          <w:behavior w:val="content"/>
        </w:behaviors>
        <w:description w:val=""/>
        <w:guid w:val="{6E21FB59-3CAC-43A2-8CD6-D18801756BFB}"/>
      </w:docPartPr>
      <w:docPartBody>
        <w:p w14:paraId="4FB00E02">
          <w:pPr>
            <w:pStyle w:val="5"/>
            <w:rPr>
              <w:rFonts w:hint="eastAsia"/>
            </w:rPr>
          </w:pPr>
          <w:r>
            <w:rPr>
              <w:rStyle w:val="4"/>
              <w:rFonts w:hint="eastAsia"/>
            </w:rPr>
            <w:t>单击或点击此处输入文字。</w:t>
          </w:r>
        </w:p>
      </w:docPartBody>
    </w:docPart>
    <w:docPart>
      <w:docPartPr>
        <w:name w:val="1E241202EF514CCABBE7297D949AD0E5"/>
        <w:style w:val=""/>
        <w:category>
          <w:name w:val="常规"/>
          <w:gallery w:val="placeholder"/>
        </w:category>
        <w:types>
          <w:type w:val="bbPlcHdr"/>
        </w:types>
        <w:behaviors>
          <w:behavior w:val="content"/>
        </w:behaviors>
        <w:description w:val=""/>
        <w:guid w:val="{0E880F5B-CC7C-4AB5-BF2E-B31026B0E1AE}"/>
      </w:docPartPr>
      <w:docPartBody>
        <w:p w14:paraId="1D81E9F7">
          <w:pPr>
            <w:pStyle w:val="6"/>
            <w:rPr>
              <w:rFonts w:hint="eastAsia"/>
            </w:rPr>
          </w:pPr>
          <w:r>
            <w:rPr>
              <w:rStyle w:val="4"/>
              <w:rFonts w:hint="eastAsia"/>
            </w:rPr>
            <w:t>选择一项。</w:t>
          </w:r>
        </w:p>
      </w:docPartBody>
    </w:docPart>
    <w:docPart>
      <w:docPartPr>
        <w:name w:val="396CA36AC5D74F5C849193C7E294E496"/>
        <w:style w:val=""/>
        <w:category>
          <w:name w:val="常规"/>
          <w:gallery w:val="placeholder"/>
        </w:category>
        <w:types>
          <w:type w:val="bbPlcHdr"/>
        </w:types>
        <w:behaviors>
          <w:behavior w:val="content"/>
        </w:behaviors>
        <w:description w:val=""/>
        <w:guid w:val="{42E61B66-FE33-48B7-8A3B-5EA6588623FA}"/>
      </w:docPartPr>
      <w:docPartBody>
        <w:p w14:paraId="1A955AE1">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oNotDisplayPageBoundaries w:val="1"/>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6C0"/>
    <w:rsid w:val="00065D68"/>
    <w:rsid w:val="00076EBB"/>
    <w:rsid w:val="000D1747"/>
    <w:rsid w:val="000D4314"/>
    <w:rsid w:val="00194954"/>
    <w:rsid w:val="001E310C"/>
    <w:rsid w:val="002051D8"/>
    <w:rsid w:val="002628D5"/>
    <w:rsid w:val="00302BED"/>
    <w:rsid w:val="00311050"/>
    <w:rsid w:val="00337706"/>
    <w:rsid w:val="00372D18"/>
    <w:rsid w:val="003C2679"/>
    <w:rsid w:val="003E6B51"/>
    <w:rsid w:val="00411CA5"/>
    <w:rsid w:val="00422D12"/>
    <w:rsid w:val="004312A0"/>
    <w:rsid w:val="00463A4F"/>
    <w:rsid w:val="004B53AF"/>
    <w:rsid w:val="004C410B"/>
    <w:rsid w:val="004D3922"/>
    <w:rsid w:val="004F46DC"/>
    <w:rsid w:val="00535B29"/>
    <w:rsid w:val="005801A6"/>
    <w:rsid w:val="005B61A6"/>
    <w:rsid w:val="005D01D4"/>
    <w:rsid w:val="005D11FA"/>
    <w:rsid w:val="006E56C0"/>
    <w:rsid w:val="00796C89"/>
    <w:rsid w:val="007A043D"/>
    <w:rsid w:val="007A276E"/>
    <w:rsid w:val="007D67A0"/>
    <w:rsid w:val="007F7DE1"/>
    <w:rsid w:val="008018F1"/>
    <w:rsid w:val="0085670D"/>
    <w:rsid w:val="008749EC"/>
    <w:rsid w:val="008B0412"/>
    <w:rsid w:val="008F0EFC"/>
    <w:rsid w:val="008F21A3"/>
    <w:rsid w:val="00934C02"/>
    <w:rsid w:val="00946802"/>
    <w:rsid w:val="009B7842"/>
    <w:rsid w:val="009E7454"/>
    <w:rsid w:val="00A12F44"/>
    <w:rsid w:val="00A23649"/>
    <w:rsid w:val="00A6724F"/>
    <w:rsid w:val="00A945D2"/>
    <w:rsid w:val="00AB3900"/>
    <w:rsid w:val="00AD76E0"/>
    <w:rsid w:val="00B02B25"/>
    <w:rsid w:val="00B66DF1"/>
    <w:rsid w:val="00BC4A3F"/>
    <w:rsid w:val="00C11D73"/>
    <w:rsid w:val="00C256D9"/>
    <w:rsid w:val="00C3762C"/>
    <w:rsid w:val="00CC48C3"/>
    <w:rsid w:val="00CE1759"/>
    <w:rsid w:val="00D32C9A"/>
    <w:rsid w:val="00D41B47"/>
    <w:rsid w:val="00D4557D"/>
    <w:rsid w:val="00D65287"/>
    <w:rsid w:val="00D87E7A"/>
    <w:rsid w:val="00D9164A"/>
    <w:rsid w:val="00D93927"/>
    <w:rsid w:val="00DC0BB4"/>
    <w:rsid w:val="00F0389B"/>
    <w:rsid w:val="00F06A7C"/>
    <w:rsid w:val="00F43C8A"/>
    <w:rsid w:val="00F8664B"/>
    <w:rsid w:val="00F962DC"/>
    <w:rsid w:val="00FB4B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5422906BAEED400C9B9FA8D8B3A4962F"/>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1E241202EF514CCABBE7297D949AD0E5"/>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396CA36AC5D74F5C849193C7E294E496"/>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8FE12C-16EA-4F8F-A8A1-ED38DA65EEBC}">
  <ds:schemaRefs/>
</ds:datastoreItem>
</file>

<file path=docProps/app.xml><?xml version="1.0" encoding="utf-8"?>
<Properties xmlns="http://schemas.openxmlformats.org/officeDocument/2006/extended-properties" xmlns:vt="http://schemas.openxmlformats.org/officeDocument/2006/docPropsVTypes">
  <Template>行业标准.dotx</Template>
  <Company>PCMI</Company>
  <Pages>21</Pages>
  <Words>3105</Words>
  <Characters>4411</Characters>
  <Lines>540</Lines>
  <Paragraphs>612</Paragraphs>
  <TotalTime>2</TotalTime>
  <ScaleCrop>false</ScaleCrop>
  <LinksUpToDate>false</LinksUpToDate>
  <CharactersWithSpaces>4703</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2025-02-18T15:03:00Z</dcterms:created>
  <dc:creator>李虹珊</dc:creator>
  <dc:description>&lt;config cover="true" show_menu="true" version="1.0.0" doctype="SDKXY"&gt;_x000d_
&lt;/config&gt;</dc:description>
  <cp:lastModifiedBy>HONG SHAN（光明）</cp:lastModifiedBy>
  <cp:lastPrinted>2021-02-02T08:18:00Z</cp:lastPrinted>
  <dcterms:modified xsi:type="dcterms:W3CDTF">2025-12-10T11:35:27Z</dcterms:modified>
  <dc:title>行业标准</dc:title>
  <cp:revision>493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行业标准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2</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eyJoZGlkIjoiZmRjOTEzMDExMGQxMDg3NjRmNDNhNGIxMDY3NTU1YmIiLCJ1c2VySWQiOiIxMTYxMTczNzExIn0=</vt:lpwstr>
  </property>
  <property fmtid="{D5CDD505-2E9C-101B-9397-08002B2CF9AE}" pid="15" name="KSOProductBuildVer">
    <vt:lpwstr>2052-12.1.0.24031</vt:lpwstr>
  </property>
  <property fmtid="{D5CDD505-2E9C-101B-9397-08002B2CF9AE}" pid="16" name="ICV">
    <vt:lpwstr>0F40A990891C471C8EF2710F491CD670_12</vt:lpwstr>
  </property>
</Properties>
</file>