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289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A42E19">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ADBF1C5">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37.060.99</w:t>
            </w:r>
            <w:r>
              <w:rPr>
                <w:rFonts w:ascii="黑体" w:hAnsi="黑体" w:eastAsia="黑体"/>
                <w:sz w:val="21"/>
                <w:szCs w:val="21"/>
              </w:rPr>
              <w:fldChar w:fldCharType="end"/>
            </w:r>
            <w:bookmarkEnd w:id="0"/>
          </w:p>
        </w:tc>
      </w:tr>
      <w:tr w14:paraId="5C59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E37679">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165D81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N40</w:t>
            </w:r>
            <w:r>
              <w:rPr>
                <w:rFonts w:ascii="黑体" w:hAnsi="黑体" w:eastAsia="黑体"/>
                <w:sz w:val="21"/>
                <w:szCs w:val="21"/>
              </w:rPr>
              <w:fldChar w:fldCharType="end"/>
            </w:r>
            <w:bookmarkEnd w:id="1"/>
          </w:p>
        </w:tc>
      </w:tr>
    </w:tbl>
    <w:p w14:paraId="54576E9D">
      <w:pPr>
        <w:pStyle w:val="53"/>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3"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电影</w:t>
      </w:r>
      <w:r>
        <w:rPr>
          <w:rFonts w:ascii="黑体" w:eastAsia="黑体"/>
          <w:b w:val="0"/>
          <w:bCs w:val="0"/>
          <w:w w:val="100"/>
          <w:sz w:val="48"/>
        </w:rPr>
        <w:fldChar w:fldCharType="end"/>
      </w:r>
      <w:bookmarkEnd w:id="3"/>
      <w:r>
        <w:rPr>
          <w:rFonts w:hint="eastAsia" w:ascii="黑体" w:hAnsi="黑体" w:eastAsia="黑体"/>
          <w:b w:val="0"/>
          <w:bCs w:val="0"/>
          <w:w w:val="100"/>
          <w:sz w:val="48"/>
          <w:szCs w:val="48"/>
        </w:rPr>
        <w:t>行业标准</w:t>
      </w:r>
    </w:p>
    <w:bookmarkEnd w:id="2"/>
    <w:p w14:paraId="71ABAC48">
      <w:pPr>
        <w:pStyle w:val="198"/>
      </w:pPr>
      <w:r>
        <w:fldChar w:fldCharType="begin">
          <w:ffData>
            <w:name w:val="文字1"/>
            <w:enabled/>
            <w:calcOnExit w:val="0"/>
            <w:textInput>
              <w:default w:val="GB "/>
            </w:textInput>
          </w:ffData>
        </w:fldChar>
      </w:r>
      <w:bookmarkStart w:id="4" w:name="文字1"/>
      <w:r>
        <w:instrText xml:space="preserve"> FORMTEXT </w:instrText>
      </w:r>
      <w:r>
        <w:fldChar w:fldCharType="separate"/>
      </w:r>
      <w:r>
        <w:t xml:space="preserve">DY/T </w:t>
      </w:r>
      <w:r>
        <w:fldChar w:fldCharType="end"/>
      </w:r>
      <w:bookmarkEnd w:id="4"/>
      <w:r>
        <w:fldChar w:fldCharType="begin">
          <w:ffData>
            <w:name w:val="NSTD_CODE_F"/>
            <w:enabled/>
            <w:calcOnExit w:val="0"/>
            <w:textInput>
              <w:default w:val="XXXXX"/>
            </w:textInput>
          </w:ffData>
        </w:fldChar>
      </w:r>
      <w:bookmarkStart w:id="5" w:name="NSTD_CODE_F"/>
      <w:r>
        <w:instrText xml:space="preserve"> FORMTEXT </w:instrText>
      </w:r>
      <w:r>
        <w:fldChar w:fldCharType="separate"/>
      </w:r>
      <w:r>
        <w:t>XXXXX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BF75C17">
      <w:pPr>
        <w:pStyle w:val="52"/>
        <w:framePr w:w="0" w:hRule="auto" w:wrap="around" w:x="7089" w:y="398"/>
        <w:ind w:firstLine="420"/>
      </w:pPr>
      <w:r>
        <w:fldChar w:fldCharType="begin">
          <w:ffData>
            <w:name w:val="c1"/>
            <w:enabled/>
            <w:calcOnExit w:val="0"/>
            <w:textInput>
              <w:maxLength w:val="2"/>
            </w:textInput>
          </w:ffData>
        </w:fldChar>
      </w:r>
      <w:bookmarkStart w:id="7" w:name="c1"/>
      <w:r>
        <w:instrText xml:space="preserve"> FORMTEXT </w:instrText>
      </w:r>
      <w:r>
        <w:fldChar w:fldCharType="separate"/>
      </w:r>
      <w:r>
        <w:t>DY</w:t>
      </w:r>
      <w:r>
        <w:fldChar w:fldCharType="end"/>
      </w:r>
      <w:bookmarkEnd w:id="7"/>
    </w:p>
    <w:p w14:paraId="0D47979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B64489">
      <w:pPr>
        <w:pStyle w:val="53"/>
        <w:framePr w:w="9639" w:h="6976" w:hRule="exact" w:hSpace="0" w:vSpace="0" w:wrap="around" w:hAnchor="page" w:y="6408"/>
        <w:jc w:val="center"/>
        <w:rPr>
          <w:rFonts w:ascii="黑体" w:hAnsi="黑体" w:eastAsia="黑体"/>
          <w:b w:val="0"/>
          <w:bCs w:val="0"/>
          <w:w w:val="100"/>
        </w:rPr>
      </w:pPr>
    </w:p>
    <w:p w14:paraId="624FD46F">
      <w:pPr>
        <w:pStyle w:val="200"/>
        <w:framePr w:h="6974" w:hRule="exact" w:wrap="around" w:x="1419" w:anchorLock="1"/>
      </w:pPr>
      <w:r>
        <w:rPr>
          <w:rFonts w:hint="eastAsia"/>
        </w:rPr>
        <w:fldChar w:fldCharType="begin">
          <w:ffData>
            <w:name w:val="CSTD_NAME"/>
            <w:enabled/>
            <w:calcOnExit w:val="0"/>
            <w:textInput>
              <w:default w:val="数字影院沉浸式音频处理器技术要求和测量方法"/>
            </w:textInput>
          </w:ffData>
        </w:fldChar>
      </w:r>
      <w:bookmarkStart w:id="8"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数字影院沉浸式音频处理器技术要求和测量方法</w:t>
      </w:r>
      <w:r>
        <w:rPr>
          <w:rFonts w:hint="eastAsia"/>
        </w:rPr>
        <w:fldChar w:fldCharType="end"/>
      </w:r>
      <w:bookmarkEnd w:id="8"/>
    </w:p>
    <w:p w14:paraId="47D19891">
      <w:pPr>
        <w:framePr w:w="9639" w:h="6974" w:hRule="exact" w:wrap="around" w:vAnchor="page" w:hAnchor="page" w:x="1419" w:y="6408" w:anchorLock="1"/>
        <w:ind w:left="-1418"/>
      </w:pPr>
    </w:p>
    <w:p w14:paraId="05364BAC">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requirements and measurement methods for digital cinema immersive audio processor"/>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Technical requirements and measurement methods for digital cinema immersive audio processor</w:t>
      </w:r>
      <w:r>
        <w:rPr>
          <w:rFonts w:eastAsia="黑体"/>
          <w:szCs w:val="28"/>
        </w:rPr>
        <w:fldChar w:fldCharType="end"/>
      </w:r>
      <w:bookmarkEnd w:id="9"/>
    </w:p>
    <w:p w14:paraId="7FDD6892">
      <w:pPr>
        <w:framePr w:w="9639" w:h="6974" w:hRule="exact" w:wrap="around" w:vAnchor="page" w:hAnchor="page" w:x="1419" w:y="6408" w:anchorLock="1"/>
        <w:spacing w:line="760" w:lineRule="exact"/>
        <w:ind w:left="-1418"/>
      </w:pPr>
    </w:p>
    <w:p w14:paraId="0F42694F">
      <w:pPr>
        <w:pStyle w:val="128"/>
        <w:framePr w:w="9639" w:h="6974" w:hRule="exact" w:wrap="around" w:vAnchor="page" w:hAnchor="page" w:x="1419" w:y="6408" w:anchorLock="1"/>
        <w:textAlignment w:val="bottom"/>
        <w:rPr>
          <w:rFonts w:eastAsia="黑体"/>
          <w:szCs w:val="28"/>
        </w:rPr>
      </w:pPr>
    </w:p>
    <w:p w14:paraId="1E2A6B5C">
      <w:pPr>
        <w:pStyle w:val="128"/>
        <w:framePr w:w="9639" w:h="6974" w:hRule="exact" w:wrap="around" w:vAnchor="page" w:hAnchor="page" w:x="1419" w:y="6408" w:anchorLock="1"/>
        <w:spacing w:before="440" w:after="160"/>
        <w:textAlignment w:val="bottom"/>
        <w:rPr>
          <w:sz w:val="24"/>
          <w:szCs w:val="28"/>
        </w:rPr>
      </w:pPr>
      <w:bookmarkStart w:id="10" w:name="下拉1"/>
      <w:r>
        <w:rPr>
          <w:rFonts w:hint="eastAsia"/>
          <w:sz w:val="24"/>
          <w:szCs w:val="28"/>
          <w:lang w:val="en-US" w:eastAsia="zh-CN"/>
        </w:rPr>
        <w:t>（报批稿）</w:t>
      </w:r>
      <w:bookmarkEnd w:id="10"/>
    </w:p>
    <w:p w14:paraId="64113916">
      <w:pPr>
        <w:pStyle w:val="128"/>
        <w:framePr w:w="9639" w:h="6974" w:hRule="exact" w:wrap="around" w:vAnchor="page" w:hAnchor="page" w:x="1419" w:y="6408" w:anchorLock="1"/>
        <w:spacing w:before="180" w:line="240" w:lineRule="atLeast"/>
        <w:textAlignment w:val="bottom"/>
        <w:rPr>
          <w:sz w:val="21"/>
          <w:szCs w:val="28"/>
        </w:rPr>
      </w:pPr>
      <w:bookmarkStart w:id="11" w:name="CMPLSH_DATE"/>
      <w:r>
        <w:rPr>
          <w:rFonts w:hint="eastAsia"/>
          <w:sz w:val="21"/>
          <w:szCs w:val="28"/>
        </w:rPr>
        <w:fldChar w:fldCharType="begin">
          <w:ffData>
            <w:name w:val="CMPLSH_DATE"/>
            <w:enabled/>
            <w:calcOnExit w:val="0"/>
            <w:textInput>
              <w:default w:val="本草案完成日期：2026年2月8日"/>
            </w:textInput>
          </w:ffData>
        </w:fldChar>
      </w:r>
      <w:r>
        <w:rPr>
          <w:rFonts w:hint="eastAsia"/>
          <w:sz w:val="21"/>
          <w:szCs w:val="28"/>
        </w:rPr>
        <w:instrText xml:space="preserve">FORMTEXT</w:instrText>
      </w:r>
      <w:r>
        <w:rPr>
          <w:rFonts w:hint="eastAsia"/>
          <w:sz w:val="21"/>
          <w:szCs w:val="28"/>
        </w:rPr>
        <w:fldChar w:fldCharType="separate"/>
      </w:r>
      <w:r>
        <w:rPr>
          <w:rFonts w:hint="eastAsia"/>
          <w:sz w:val="21"/>
          <w:szCs w:val="28"/>
        </w:rPr>
        <w:t>本草案完成日期：2026年2月8日</w:t>
      </w:r>
      <w:r>
        <w:rPr>
          <w:rFonts w:hint="eastAsia"/>
          <w:sz w:val="21"/>
          <w:szCs w:val="28"/>
        </w:rPr>
        <w:fldChar w:fldCharType="end"/>
      </w:r>
      <w:bookmarkEnd w:id="11"/>
    </w:p>
    <w:p w14:paraId="40978922">
      <w:pPr>
        <w:pStyle w:val="196"/>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30C66F7">
      <w:pPr>
        <w:pStyle w:val="197"/>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78CA40E4">
      <w:pPr>
        <w:pStyle w:val="154"/>
        <w:framePr w:h="584" w:hRule="exact" w:hSpace="181" w:vSpace="181" w:wrap="around" w:y="15027"/>
        <w:rPr>
          <w:rFonts w:hAnsi="黑体"/>
        </w:rPr>
      </w:pPr>
      <w:r>
        <w:rPr>
          <w:rFonts w:hint="eastAsia" w:hAnsi="黑体"/>
          <w:w w:val="100"/>
          <w:sz w:val="28"/>
        </w:rPr>
        <w:t>国家电影局</w:t>
      </w:r>
      <w:r>
        <w:rPr>
          <w:rFonts w:ascii="Times New Roman"/>
          <w:w w:val="100"/>
          <w:sz w:val="28"/>
          <w:szCs w:val="28"/>
        </w:rPr>
        <w:t>  </w:t>
      </w:r>
      <w:r>
        <w:rPr>
          <w:rStyle w:val="232"/>
          <w:rFonts w:hint="eastAsia" w:hAnsi="黑体"/>
          <w:position w:val="0"/>
        </w:rPr>
        <w:t>发</w:t>
      </w:r>
      <w:r>
        <w:rPr>
          <w:rStyle w:val="232"/>
          <w:rFonts w:hint="eastAsia" w:hAnsi="黑体"/>
          <w:spacing w:val="0"/>
          <w:position w:val="0"/>
        </w:rPr>
        <w:t>布</w:t>
      </w:r>
    </w:p>
    <w:p w14:paraId="23A356C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88BEEA7">
      <w:pPr>
        <w:pStyle w:val="94"/>
        <w:spacing w:after="468"/>
      </w:pPr>
      <w:bookmarkStart w:id="18" w:name="BookMark1"/>
      <w:bookmarkStart w:id="19" w:name="_Toc54597417"/>
      <w:r>
        <w:rPr>
          <w:rFonts w:hint="eastAsia"/>
          <w:spacing w:val="320"/>
        </w:rPr>
        <w:t>目</w:t>
      </w:r>
      <w:r>
        <w:rPr>
          <w:rFonts w:hint="eastAsia"/>
        </w:rPr>
        <w:t>次</w:t>
      </w:r>
    </w:p>
    <w:p w14:paraId="37E8EB5B">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_Toc23407 </w:instrText>
      </w:r>
      <w:r>
        <w:fldChar w:fldCharType="separate"/>
      </w:r>
      <w:r>
        <w:rPr>
          <w:spacing w:val="320"/>
        </w:rPr>
        <w:t>前</w:t>
      </w:r>
      <w:r>
        <w:t>言</w:t>
      </w:r>
      <w:r>
        <w:tab/>
      </w:r>
      <w:r>
        <w:fldChar w:fldCharType="begin"/>
      </w:r>
      <w:r>
        <w:instrText xml:space="preserve"> PAGEREF _Toc23407 \h </w:instrText>
      </w:r>
      <w:r>
        <w:fldChar w:fldCharType="separate"/>
      </w:r>
      <w:r>
        <w:t>II</w:t>
      </w:r>
      <w:r>
        <w:fldChar w:fldCharType="end"/>
      </w:r>
      <w:r>
        <w:fldChar w:fldCharType="end"/>
      </w:r>
    </w:p>
    <w:p w14:paraId="226C45E0">
      <w:pPr>
        <w:pStyle w:val="20"/>
        <w:tabs>
          <w:tab w:val="right" w:leader="dot" w:pos="9354"/>
        </w:tabs>
      </w:pPr>
      <w:r>
        <w:fldChar w:fldCharType="begin"/>
      </w:r>
      <w:r>
        <w:instrText xml:space="preserve"> HYPERLINK \l _Toc28876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_Toc28876 \h </w:instrText>
      </w:r>
      <w:r>
        <w:fldChar w:fldCharType="separate"/>
      </w:r>
      <w:r>
        <w:t>1</w:t>
      </w:r>
      <w:r>
        <w:fldChar w:fldCharType="end"/>
      </w:r>
      <w:r>
        <w:fldChar w:fldCharType="end"/>
      </w:r>
    </w:p>
    <w:p w14:paraId="571FCC21">
      <w:pPr>
        <w:pStyle w:val="20"/>
        <w:tabs>
          <w:tab w:val="right" w:leader="dot" w:pos="9354"/>
        </w:tabs>
      </w:pPr>
      <w:r>
        <w:fldChar w:fldCharType="begin"/>
      </w:r>
      <w:r>
        <w:instrText xml:space="preserve"> HYPERLINK \l _Toc3650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_Toc3650 \h </w:instrText>
      </w:r>
      <w:r>
        <w:fldChar w:fldCharType="separate"/>
      </w:r>
      <w:r>
        <w:t>1</w:t>
      </w:r>
      <w:r>
        <w:fldChar w:fldCharType="end"/>
      </w:r>
      <w:r>
        <w:fldChar w:fldCharType="end"/>
      </w:r>
    </w:p>
    <w:p w14:paraId="126AB2BB">
      <w:pPr>
        <w:pStyle w:val="20"/>
        <w:tabs>
          <w:tab w:val="right" w:leader="dot" w:pos="9354"/>
        </w:tabs>
      </w:pPr>
      <w:r>
        <w:fldChar w:fldCharType="begin"/>
      </w:r>
      <w:r>
        <w:instrText xml:space="preserve"> HYPERLINK \l _Toc7081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_Toc7081 \h </w:instrText>
      </w:r>
      <w:r>
        <w:fldChar w:fldCharType="separate"/>
      </w:r>
      <w:r>
        <w:t>1</w:t>
      </w:r>
      <w:r>
        <w:fldChar w:fldCharType="end"/>
      </w:r>
      <w:r>
        <w:fldChar w:fldCharType="end"/>
      </w:r>
    </w:p>
    <w:p w14:paraId="6482A0AE">
      <w:pPr>
        <w:pStyle w:val="20"/>
        <w:tabs>
          <w:tab w:val="right" w:leader="dot" w:pos="9354"/>
        </w:tabs>
      </w:pPr>
      <w:r>
        <w:fldChar w:fldCharType="begin"/>
      </w:r>
      <w:r>
        <w:instrText xml:space="preserve"> HYPERLINK \l _Toc22668 </w:instrText>
      </w:r>
      <w:r>
        <w:fldChar w:fldCharType="separate"/>
      </w:r>
      <w:r>
        <w:rPr>
          <w:rFonts w:hint="eastAsia" w:ascii="黑体" w:eastAsia="黑体"/>
          <w:i w:val="0"/>
        </w:rPr>
        <w:t xml:space="preserve">4 </w:t>
      </w:r>
      <w:r>
        <w:rPr>
          <w:rFonts w:hint="eastAsia"/>
        </w:rPr>
        <w:t>缩略语</w:t>
      </w:r>
      <w:r>
        <w:tab/>
      </w:r>
      <w:r>
        <w:fldChar w:fldCharType="begin"/>
      </w:r>
      <w:r>
        <w:instrText xml:space="preserve"> PAGEREF _Toc22668 \h </w:instrText>
      </w:r>
      <w:r>
        <w:fldChar w:fldCharType="separate"/>
      </w:r>
      <w:r>
        <w:t>2</w:t>
      </w:r>
      <w:r>
        <w:fldChar w:fldCharType="end"/>
      </w:r>
      <w:r>
        <w:fldChar w:fldCharType="end"/>
      </w:r>
    </w:p>
    <w:p w14:paraId="476680BE">
      <w:pPr>
        <w:pStyle w:val="20"/>
        <w:tabs>
          <w:tab w:val="right" w:leader="dot" w:pos="9354"/>
        </w:tabs>
      </w:pPr>
      <w:r>
        <w:fldChar w:fldCharType="begin"/>
      </w:r>
      <w:r>
        <w:instrText xml:space="preserve"> HYPERLINK \l _Toc11424 </w:instrText>
      </w:r>
      <w:r>
        <w:fldChar w:fldCharType="separate"/>
      </w:r>
      <w:r>
        <w:rPr>
          <w:rFonts w:hint="eastAsia" w:ascii="黑体" w:eastAsia="黑体"/>
          <w:i w:val="0"/>
        </w:rPr>
        <w:t xml:space="preserve">5 </w:t>
      </w:r>
      <w:r>
        <w:rPr>
          <w:rFonts w:hint="eastAsia"/>
        </w:rPr>
        <w:t>技术要求</w:t>
      </w:r>
      <w:r>
        <w:tab/>
      </w:r>
      <w:r>
        <w:fldChar w:fldCharType="begin"/>
      </w:r>
      <w:r>
        <w:instrText xml:space="preserve"> PAGEREF _Toc11424 \h </w:instrText>
      </w:r>
      <w:r>
        <w:fldChar w:fldCharType="separate"/>
      </w:r>
      <w:r>
        <w:t>3</w:t>
      </w:r>
      <w:r>
        <w:fldChar w:fldCharType="end"/>
      </w:r>
      <w:r>
        <w:fldChar w:fldCharType="end"/>
      </w:r>
    </w:p>
    <w:p w14:paraId="7B13876C">
      <w:pPr>
        <w:pStyle w:val="25"/>
        <w:tabs>
          <w:tab w:val="right" w:leader="dot" w:pos="9354"/>
          <w:tab w:val="clear" w:pos="9344"/>
        </w:tabs>
      </w:pPr>
      <w:r>
        <w:fldChar w:fldCharType="begin"/>
      </w:r>
      <w:r>
        <w:instrText xml:space="preserve"> HYPERLINK \l _Toc6889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基本功能</w:t>
      </w:r>
      <w:r>
        <w:tab/>
      </w:r>
      <w:r>
        <w:fldChar w:fldCharType="begin"/>
      </w:r>
      <w:r>
        <w:instrText xml:space="preserve"> PAGEREF _Toc6889 \h </w:instrText>
      </w:r>
      <w:r>
        <w:fldChar w:fldCharType="separate"/>
      </w:r>
      <w:r>
        <w:t>3</w:t>
      </w:r>
      <w:r>
        <w:fldChar w:fldCharType="end"/>
      </w:r>
      <w:r>
        <w:fldChar w:fldCharType="end"/>
      </w:r>
    </w:p>
    <w:p w14:paraId="23568F16">
      <w:pPr>
        <w:pStyle w:val="25"/>
        <w:tabs>
          <w:tab w:val="right" w:leader="dot" w:pos="9354"/>
          <w:tab w:val="clear" w:pos="9344"/>
        </w:tabs>
      </w:pPr>
      <w:r>
        <w:fldChar w:fldCharType="begin"/>
      </w:r>
      <w:r>
        <w:instrText xml:space="preserve"> HYPERLINK \l _Toc10350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音频通路（数字输入/模拟输出）</w:t>
      </w:r>
      <w:r>
        <w:tab/>
      </w:r>
      <w:r>
        <w:fldChar w:fldCharType="begin"/>
      </w:r>
      <w:r>
        <w:instrText xml:space="preserve"> PAGEREF _Toc10350 \h </w:instrText>
      </w:r>
      <w:r>
        <w:fldChar w:fldCharType="separate"/>
      </w:r>
      <w:r>
        <w:t>3</w:t>
      </w:r>
      <w:r>
        <w:fldChar w:fldCharType="end"/>
      </w:r>
      <w:r>
        <w:fldChar w:fldCharType="end"/>
      </w:r>
    </w:p>
    <w:p w14:paraId="0429532A">
      <w:pPr>
        <w:pStyle w:val="25"/>
        <w:tabs>
          <w:tab w:val="right" w:leader="dot" w:pos="9354"/>
          <w:tab w:val="clear" w:pos="9344"/>
        </w:tabs>
      </w:pPr>
      <w:r>
        <w:fldChar w:fldCharType="begin"/>
      </w:r>
      <w:r>
        <w:instrText xml:space="preserve"> HYPERLINK \l _Toc28399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rPr>
        <w:t>设备可靠性和稳定性</w:t>
      </w:r>
      <w:r>
        <w:tab/>
      </w:r>
      <w:r>
        <w:fldChar w:fldCharType="begin"/>
      </w:r>
      <w:r>
        <w:instrText xml:space="preserve"> PAGEREF _Toc28399 \h </w:instrText>
      </w:r>
      <w:r>
        <w:fldChar w:fldCharType="separate"/>
      </w:r>
      <w:r>
        <w:t>4</w:t>
      </w:r>
      <w:r>
        <w:fldChar w:fldCharType="end"/>
      </w:r>
      <w:r>
        <w:fldChar w:fldCharType="end"/>
      </w:r>
    </w:p>
    <w:p w14:paraId="02B97646">
      <w:pPr>
        <w:pStyle w:val="20"/>
        <w:tabs>
          <w:tab w:val="right" w:leader="dot" w:pos="9354"/>
        </w:tabs>
      </w:pPr>
      <w:r>
        <w:fldChar w:fldCharType="begin"/>
      </w:r>
      <w:r>
        <w:instrText xml:space="preserve"> HYPERLINK \l _Toc9648 </w:instrText>
      </w:r>
      <w:r>
        <w:fldChar w:fldCharType="separate"/>
      </w:r>
      <w:r>
        <w:rPr>
          <w:rFonts w:hint="eastAsia" w:ascii="黑体" w:eastAsia="黑体"/>
          <w:i w:val="0"/>
        </w:rPr>
        <w:t xml:space="preserve">6 </w:t>
      </w:r>
      <w:r>
        <w:rPr>
          <w:rFonts w:hint="eastAsia"/>
        </w:rPr>
        <w:t>测量方法</w:t>
      </w:r>
      <w:r>
        <w:tab/>
      </w:r>
      <w:r>
        <w:fldChar w:fldCharType="begin"/>
      </w:r>
      <w:r>
        <w:instrText xml:space="preserve"> PAGEREF _Toc9648 \h </w:instrText>
      </w:r>
      <w:r>
        <w:fldChar w:fldCharType="separate"/>
      </w:r>
      <w:r>
        <w:t>4</w:t>
      </w:r>
      <w:r>
        <w:fldChar w:fldCharType="end"/>
      </w:r>
      <w:r>
        <w:fldChar w:fldCharType="end"/>
      </w:r>
    </w:p>
    <w:p w14:paraId="4A112A7B">
      <w:pPr>
        <w:pStyle w:val="25"/>
        <w:tabs>
          <w:tab w:val="right" w:leader="dot" w:pos="9354"/>
          <w:tab w:val="clear" w:pos="9344"/>
        </w:tabs>
      </w:pPr>
      <w:r>
        <w:fldChar w:fldCharType="begin"/>
      </w:r>
      <w:r>
        <w:instrText xml:space="preserve"> HYPERLINK \l _Toc7252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测量环境要求</w:t>
      </w:r>
      <w:r>
        <w:tab/>
      </w:r>
      <w:r>
        <w:fldChar w:fldCharType="begin"/>
      </w:r>
      <w:r>
        <w:instrText xml:space="preserve"> PAGEREF _Toc7252 \h </w:instrText>
      </w:r>
      <w:r>
        <w:fldChar w:fldCharType="separate"/>
      </w:r>
      <w:r>
        <w:t>4</w:t>
      </w:r>
      <w:r>
        <w:fldChar w:fldCharType="end"/>
      </w:r>
      <w:r>
        <w:fldChar w:fldCharType="end"/>
      </w:r>
    </w:p>
    <w:p w14:paraId="08087220">
      <w:pPr>
        <w:pStyle w:val="25"/>
        <w:tabs>
          <w:tab w:val="right" w:leader="dot" w:pos="9354"/>
          <w:tab w:val="clear" w:pos="9344"/>
        </w:tabs>
      </w:pPr>
      <w:r>
        <w:fldChar w:fldCharType="begin"/>
      </w:r>
      <w:r>
        <w:instrText xml:space="preserve"> HYPERLINK \l _Toc31392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测量条件</w:t>
      </w:r>
      <w:r>
        <w:tab/>
      </w:r>
      <w:r>
        <w:fldChar w:fldCharType="begin"/>
      </w:r>
      <w:r>
        <w:instrText xml:space="preserve"> PAGEREF _Toc31392 \h </w:instrText>
      </w:r>
      <w:r>
        <w:fldChar w:fldCharType="separate"/>
      </w:r>
      <w:r>
        <w:t>4</w:t>
      </w:r>
      <w:r>
        <w:fldChar w:fldCharType="end"/>
      </w:r>
      <w:r>
        <w:fldChar w:fldCharType="end"/>
      </w:r>
    </w:p>
    <w:p w14:paraId="3E15BAE7">
      <w:pPr>
        <w:pStyle w:val="25"/>
        <w:tabs>
          <w:tab w:val="right" w:leader="dot" w:pos="9354"/>
          <w:tab w:val="clear" w:pos="9344"/>
        </w:tabs>
      </w:pPr>
      <w:r>
        <w:fldChar w:fldCharType="begin"/>
      </w:r>
      <w:r>
        <w:instrText xml:space="preserve"> HYPERLINK \l _Toc8261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rPr>
        <w:t>测量步骤</w:t>
      </w:r>
      <w:r>
        <w:tab/>
      </w:r>
      <w:r>
        <w:fldChar w:fldCharType="begin"/>
      </w:r>
      <w:r>
        <w:instrText xml:space="preserve"> PAGEREF _Toc8261 \h </w:instrText>
      </w:r>
      <w:r>
        <w:fldChar w:fldCharType="separate"/>
      </w:r>
      <w:r>
        <w:t>5</w:t>
      </w:r>
      <w:r>
        <w:fldChar w:fldCharType="end"/>
      </w:r>
      <w:r>
        <w:fldChar w:fldCharType="end"/>
      </w:r>
    </w:p>
    <w:p w14:paraId="7CE8FC86">
      <w:pPr>
        <w:pStyle w:val="20"/>
        <w:tabs>
          <w:tab w:val="right" w:leader="dot" w:pos="9354"/>
        </w:tabs>
      </w:pPr>
      <w:r>
        <w:fldChar w:fldCharType="begin"/>
      </w:r>
      <w:r>
        <w:instrText xml:space="preserve"> HYPERLINK \l _Toc6189 </w:instrText>
      </w:r>
      <w:r>
        <w:fldChar w:fldCharType="separate"/>
      </w:r>
      <w:r>
        <w:rPr>
          <w:rFonts w:hint="eastAsia"/>
          <w:spacing w:val="100"/>
        </w:rPr>
        <w:t xml:space="preserve">附录A </w:t>
      </w:r>
      <w:r>
        <w:t xml:space="preserve"> </w:t>
      </w:r>
      <w:r>
        <w:rPr>
          <w:rFonts w:hint="eastAsia"/>
        </w:rPr>
        <w:t>（规范性）</w:t>
      </w:r>
      <w:r>
        <w:t xml:space="preserve"> </w:t>
      </w:r>
      <w:r>
        <w:rPr>
          <w:rFonts w:hint="eastAsia"/>
        </w:rPr>
        <w:t>影院音频对象位置元数据与影厅空间信息的映射关系</w:t>
      </w:r>
      <w:r>
        <w:tab/>
      </w:r>
      <w:r>
        <w:fldChar w:fldCharType="begin"/>
      </w:r>
      <w:r>
        <w:instrText xml:space="preserve"> PAGEREF _Toc6189 \h </w:instrText>
      </w:r>
      <w:r>
        <w:fldChar w:fldCharType="separate"/>
      </w:r>
      <w:r>
        <w:t>11</w:t>
      </w:r>
      <w:r>
        <w:fldChar w:fldCharType="end"/>
      </w:r>
      <w:r>
        <w:fldChar w:fldCharType="end"/>
      </w:r>
    </w:p>
    <w:p w14:paraId="62FA6137">
      <w:pPr>
        <w:pStyle w:val="20"/>
        <w:tabs>
          <w:tab w:val="right" w:leader="dot" w:pos="9354"/>
        </w:tabs>
      </w:pPr>
      <w:r>
        <w:fldChar w:fldCharType="begin"/>
      </w:r>
      <w:r>
        <w:instrText xml:space="preserve"> HYPERLINK \l _Toc13981 </w:instrText>
      </w:r>
      <w:r>
        <w:fldChar w:fldCharType="separate"/>
      </w:r>
      <w:r>
        <w:rPr>
          <w:rFonts w:hint="eastAsia"/>
          <w:spacing w:val="100"/>
        </w:rPr>
        <w:t xml:space="preserve">附录B </w:t>
      </w:r>
      <w:r>
        <w:t xml:space="preserve"> </w:t>
      </w:r>
      <w:r>
        <w:rPr>
          <w:rFonts w:hint="eastAsia"/>
        </w:rPr>
        <w:t>（规范性）</w:t>
      </w:r>
      <w:r>
        <w:t xml:space="preserve"> </w:t>
      </w:r>
      <w:r>
        <w:rPr>
          <w:rFonts w:hint="eastAsia"/>
        </w:rPr>
        <w:t>影院音频对象位置元数据与三维声位置元数据映射关系</w:t>
      </w:r>
      <w:r>
        <w:tab/>
      </w:r>
      <w:r>
        <w:fldChar w:fldCharType="begin"/>
      </w:r>
      <w:r>
        <w:instrText xml:space="preserve"> PAGEREF _Toc13981 \h </w:instrText>
      </w:r>
      <w:r>
        <w:fldChar w:fldCharType="separate"/>
      </w:r>
      <w:r>
        <w:t>12</w:t>
      </w:r>
      <w:r>
        <w:fldChar w:fldCharType="end"/>
      </w:r>
      <w:r>
        <w:fldChar w:fldCharType="end"/>
      </w:r>
    </w:p>
    <w:p w14:paraId="1EF360CF">
      <w:pPr>
        <w:pStyle w:val="20"/>
        <w:tabs>
          <w:tab w:val="right" w:leader="dot" w:pos="9354"/>
        </w:tabs>
      </w:pPr>
      <w:r>
        <w:fldChar w:fldCharType="begin"/>
      </w:r>
      <w:r>
        <w:instrText xml:space="preserve"> HYPERLINK \l _Toc18120 </w:instrText>
      </w:r>
      <w:r>
        <w:fldChar w:fldCharType="separate"/>
      </w:r>
      <w:r>
        <w:rPr>
          <w:rFonts w:hint="eastAsia"/>
          <w:spacing w:val="105"/>
        </w:rPr>
        <w:t>参考文</w:t>
      </w:r>
      <w:r>
        <w:rPr>
          <w:rFonts w:hint="eastAsia"/>
        </w:rPr>
        <w:t>献</w:t>
      </w:r>
      <w:r>
        <w:tab/>
      </w:r>
      <w:r>
        <w:fldChar w:fldCharType="begin"/>
      </w:r>
      <w:r>
        <w:instrText xml:space="preserve"> PAGEREF _Toc18120 \h </w:instrText>
      </w:r>
      <w:r>
        <w:fldChar w:fldCharType="separate"/>
      </w:r>
      <w:r>
        <w:t>13</w:t>
      </w:r>
      <w:r>
        <w:fldChar w:fldCharType="end"/>
      </w:r>
      <w:r>
        <w:fldChar w:fldCharType="end"/>
      </w:r>
    </w:p>
    <w:p w14:paraId="1BF558C2">
      <w:pPr>
        <w:pStyle w:val="94"/>
        <w:spacing w:after="468"/>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8"/>
    <w:p w14:paraId="0CD7E5AD">
      <w:pPr>
        <w:pStyle w:val="92"/>
        <w:spacing w:after="468"/>
      </w:pPr>
      <w:bookmarkStart w:id="20" w:name="_Toc203577719"/>
      <w:bookmarkStart w:id="21" w:name="_Toc23407"/>
      <w:bookmarkStart w:id="22" w:name="BookMark2"/>
      <w:r>
        <w:rPr>
          <w:spacing w:val="320"/>
        </w:rPr>
        <w:t>前</w:t>
      </w:r>
      <w:r>
        <w:t>言</w:t>
      </w:r>
      <w:bookmarkEnd w:id="19"/>
      <w:bookmarkEnd w:id="20"/>
      <w:bookmarkEnd w:id="21"/>
    </w:p>
    <w:p w14:paraId="54D02A80">
      <w:pPr>
        <w:pStyle w:val="59"/>
        <w:ind w:firstLine="420"/>
      </w:pPr>
      <w:r>
        <w:rPr>
          <w:rFonts w:hint="eastAsia"/>
        </w:rPr>
        <w:t>本文件按照GB/T 1.1—2020《标准化工作导则</w:t>
      </w:r>
      <w:r>
        <w:t xml:space="preserve"> </w:t>
      </w:r>
      <w:r>
        <w:rPr>
          <w:rFonts w:hint="eastAsia"/>
        </w:rPr>
        <w:t>第1部分：标准化文件的结构和起草规则》的规定起</w:t>
      </w:r>
      <w:bookmarkStart w:id="211" w:name="_GoBack"/>
      <w:bookmarkEnd w:id="211"/>
      <w:r>
        <w:rPr>
          <w:rFonts w:hint="eastAsia"/>
        </w:rPr>
        <w:t>草。</w:t>
      </w:r>
    </w:p>
    <w:p w14:paraId="558D2E45">
      <w:pPr>
        <w:pStyle w:val="233"/>
      </w:pPr>
      <w:r>
        <w:rPr>
          <w:rFonts w:hint="eastAsia"/>
        </w:rPr>
        <w:t>请注意本文件的某些内容可能涉及专利。本文件的发布机构不承担识别专利的责任。</w:t>
      </w:r>
    </w:p>
    <w:p w14:paraId="2E50C9EB">
      <w:pPr>
        <w:pStyle w:val="59"/>
        <w:ind w:firstLine="420"/>
      </w:pPr>
      <w:r>
        <w:rPr>
          <w:rFonts w:hint="eastAsia"/>
        </w:rPr>
        <w:t>本文件由全国电影标准化技术委员会（</w:t>
      </w:r>
      <w:r>
        <w:t>SAC/TC 604</w:t>
      </w:r>
      <w:r>
        <w:rPr>
          <w:rFonts w:hint="eastAsia"/>
        </w:rPr>
        <w:t>）提出并归口。</w:t>
      </w:r>
    </w:p>
    <w:p w14:paraId="731AAC4E">
      <w:pPr>
        <w:pStyle w:val="59"/>
        <w:ind w:firstLine="420"/>
      </w:pPr>
      <w:r>
        <w:rPr>
          <w:rFonts w:hint="eastAsia"/>
        </w:rPr>
        <w:t>本文件起草单位：</w:t>
      </w:r>
      <w:bookmarkStart w:id="23" w:name="OLE_LINK35"/>
      <w:r>
        <w:rPr>
          <w:rFonts w:hint="eastAsia"/>
        </w:rPr>
        <w:t>中国电影科学技术研究所（中央宣传部电影技术质量检测所）、中国电影股份有限公司、华夏电影发行有限责任公司、华为技术有限公司</w:t>
      </w:r>
      <w:r>
        <w:t>、</w:t>
      </w:r>
      <w:r>
        <w:rPr>
          <w:rFonts w:hint="eastAsia"/>
        </w:rPr>
        <w:t>深圳市九州光电科技有限公司、北京东方佳联影视技术有限公司、广州飞达音响有限公司、四川湖山电器股份有限公司、</w:t>
      </w:r>
      <w:r>
        <w:t>深圳市洲明科技股份有限公司</w:t>
      </w:r>
      <w:r>
        <w:rPr>
          <w:rFonts w:hint="eastAsia"/>
        </w:rPr>
        <w:t>。</w:t>
      </w:r>
    </w:p>
    <w:bookmarkEnd w:id="23"/>
    <w:p w14:paraId="58A21A41">
      <w:pPr>
        <w:pStyle w:val="59"/>
        <w:ind w:firstLine="420"/>
      </w:pPr>
      <w:r>
        <w:rPr>
          <w:rFonts w:hint="eastAsia"/>
        </w:rPr>
        <w:t>本文件主要起草人：董强国、龚波、王薇娜、徐涛、李娜、边巍、</w:t>
      </w:r>
      <w:r>
        <w:t>邢占宇</w:t>
      </w:r>
      <w:r>
        <w:rPr>
          <w:rFonts w:hint="eastAsia"/>
        </w:rPr>
        <w:t>、燕兴、梁正恺、李子龙、周波、张辉、高峰、肖令权、王文强、李虹珊、王景宇、贾波、董志刚、苏方杰、常婉晴、赵子安。</w:t>
      </w:r>
    </w:p>
    <w:p w14:paraId="1F77061A">
      <w:pPr>
        <w:pStyle w:val="59"/>
        <w:ind w:firstLine="420"/>
      </w:pPr>
    </w:p>
    <w:p w14:paraId="57C5A310">
      <w:pPr>
        <w:pStyle w:val="59"/>
        <w:ind w:firstLine="0" w:firstLineChars="0"/>
      </w:pPr>
    </w:p>
    <w:p w14:paraId="0528E2A9">
      <w:pPr>
        <w:pStyle w:val="59"/>
        <w:ind w:firstLine="420"/>
      </w:pPr>
    </w:p>
    <w:p w14:paraId="37258281">
      <w:pPr>
        <w:pStyle w:val="59"/>
        <w:ind w:firstLine="199" w:firstLineChars="95"/>
        <w:sectPr>
          <w:headerReference r:id="rId13" w:type="default"/>
          <w:footerReference r:id="rId15" w:type="default"/>
          <w:headerReference r:id="rId14" w:type="even"/>
          <w:footerReference r:id="rId16" w:type="even"/>
          <w:pgSz w:w="11906" w:h="16838"/>
          <w:pgMar w:top="1871" w:right="1134" w:bottom="1134" w:left="1134" w:header="1418" w:footer="1134" w:gutter="284"/>
          <w:pgNumType w:fmt="upperRoman"/>
          <w:cols w:space="425" w:num="1"/>
          <w:formProt w:val="0"/>
          <w:docGrid w:type="lines" w:linePitch="312" w:charSpace="0"/>
        </w:sectPr>
      </w:pPr>
    </w:p>
    <w:bookmarkEnd w:id="22"/>
    <w:p w14:paraId="0D7949FD">
      <w:pPr>
        <w:spacing w:line="20" w:lineRule="exact"/>
        <w:jc w:val="center"/>
        <w:rPr>
          <w:rFonts w:ascii="黑体" w:hAnsi="黑体" w:eastAsia="黑体"/>
          <w:sz w:val="32"/>
          <w:szCs w:val="32"/>
        </w:rPr>
      </w:pPr>
      <w:bookmarkStart w:id="24" w:name="BookMark4"/>
    </w:p>
    <w:p w14:paraId="676291D3">
      <w:pPr>
        <w:spacing w:line="20" w:lineRule="exact"/>
        <w:jc w:val="center"/>
        <w:rPr>
          <w:rFonts w:ascii="黑体" w:hAnsi="黑体" w:eastAsia="黑体"/>
          <w:sz w:val="32"/>
          <w:szCs w:val="32"/>
        </w:rPr>
      </w:pPr>
    </w:p>
    <w:sdt>
      <w:sdtPr>
        <w:tag w:val="NEW_STAND_NAME"/>
        <w:id w:val="595910757"/>
        <w:lock w:val="sdtLocked"/>
        <w:placeholder>
          <w:docPart w:val="9B26E6AD67CB4C2995D310B627940C08"/>
        </w:placeholder>
      </w:sdtPr>
      <w:sdtContent>
        <w:p w14:paraId="274A74DD">
          <w:pPr>
            <w:pStyle w:val="180"/>
            <w:spacing w:before="567" w:beforeLines="182" w:after="686" w:afterLines="220"/>
          </w:pPr>
          <w:bookmarkStart w:id="25" w:name="NEW_STAND_NAME"/>
          <w:r>
            <w:rPr>
              <w:rFonts w:hint="eastAsia"/>
            </w:rPr>
            <w:t>数字影院沉浸式音频处理器技术要求和测量方法</w:t>
          </w:r>
        </w:p>
      </w:sdtContent>
    </w:sdt>
    <w:bookmarkEnd w:id="25"/>
    <w:p w14:paraId="01303A1A">
      <w:pPr>
        <w:pStyle w:val="107"/>
        <w:spacing w:before="312" w:after="312"/>
      </w:pPr>
      <w:bookmarkStart w:id="26" w:name="_Toc17233333"/>
      <w:bookmarkStart w:id="27" w:name="_Toc28876"/>
      <w:bookmarkStart w:id="28" w:name="_Toc24884211"/>
      <w:bookmarkStart w:id="29" w:name="_Toc24884218"/>
      <w:bookmarkStart w:id="30" w:name="_Toc26718930"/>
      <w:bookmarkStart w:id="31" w:name="_Toc203577720"/>
      <w:bookmarkStart w:id="32" w:name="_Toc26986530"/>
      <w:bookmarkStart w:id="33" w:name="_Toc54597418"/>
      <w:bookmarkStart w:id="34" w:name="_Toc17233325"/>
      <w:bookmarkStart w:id="35" w:name="_Toc26986771"/>
      <w:bookmarkStart w:id="36" w:name="_Toc26648465"/>
      <w:r>
        <w:rPr>
          <w:rFonts w:hint="eastAsia"/>
        </w:rPr>
        <w:t>范围</w:t>
      </w:r>
      <w:bookmarkEnd w:id="26"/>
      <w:bookmarkEnd w:id="27"/>
      <w:bookmarkEnd w:id="28"/>
      <w:bookmarkEnd w:id="29"/>
      <w:bookmarkEnd w:id="30"/>
      <w:bookmarkEnd w:id="31"/>
      <w:bookmarkEnd w:id="32"/>
      <w:bookmarkEnd w:id="33"/>
      <w:bookmarkEnd w:id="34"/>
      <w:bookmarkEnd w:id="35"/>
      <w:bookmarkEnd w:id="36"/>
    </w:p>
    <w:p w14:paraId="7D1D87C4">
      <w:pPr>
        <w:pStyle w:val="59"/>
        <w:ind w:firstLine="420"/>
      </w:pPr>
      <w:bookmarkStart w:id="37" w:name="_Toc24884212"/>
      <w:bookmarkStart w:id="38" w:name="_Toc24884219"/>
      <w:bookmarkStart w:id="39" w:name="_Toc17233326"/>
      <w:bookmarkStart w:id="40" w:name="_Toc26648466"/>
      <w:bookmarkStart w:id="41" w:name="_Toc17233334"/>
      <w:r>
        <w:rPr>
          <w:rFonts w:hint="eastAsia"/>
        </w:rPr>
        <w:t>本文件规定了数字影院放映用沉浸式音频处理器的基本功能、音频通路，还对其可靠性、稳定性等技术要求进行了规定，描述了相应的测量方法。</w:t>
      </w:r>
    </w:p>
    <w:p w14:paraId="45B2B496">
      <w:pPr>
        <w:pStyle w:val="59"/>
        <w:ind w:firstLine="420"/>
      </w:pPr>
      <w:r>
        <w:rPr>
          <w:rFonts w:hint="eastAsia"/>
        </w:rPr>
        <w:t>本文件适用于数字影院放映用沉浸式音频处理器的设计、制造、使用、检测与认证。</w:t>
      </w:r>
    </w:p>
    <w:p w14:paraId="68427A17">
      <w:pPr>
        <w:pStyle w:val="107"/>
        <w:spacing w:before="312" w:after="312"/>
      </w:pPr>
      <w:bookmarkStart w:id="42" w:name="_Toc3650"/>
      <w:bookmarkStart w:id="43" w:name="_Toc26986531"/>
      <w:bookmarkStart w:id="44" w:name="_Toc26986772"/>
      <w:bookmarkStart w:id="45" w:name="_Toc26718931"/>
      <w:bookmarkStart w:id="46" w:name="_Toc203577721"/>
      <w:bookmarkStart w:id="47" w:name="_Toc54597419"/>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1A34295BE509404A928913BDFCF38EA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E7EED69">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FF0B5E">
      <w:pPr>
        <w:pStyle w:val="233"/>
        <w:rPr>
          <w:rFonts w:hAnsi="宋体"/>
        </w:rPr>
      </w:pPr>
      <w:bookmarkStart w:id="48" w:name="OLE_LINK6"/>
      <w:r>
        <w:rPr>
          <w:rFonts w:hint="eastAsia" w:hAnsi="宋体"/>
        </w:rPr>
        <w:t>GB/T 46271—2025 信息技术 三维声技术 编码、分发与呈现</w:t>
      </w:r>
    </w:p>
    <w:p w14:paraId="281DBE0D">
      <w:pPr>
        <w:pStyle w:val="233"/>
        <w:rPr>
          <w:rFonts w:hAnsi="宋体"/>
        </w:rPr>
      </w:pPr>
      <w:r>
        <w:rPr>
          <w:rFonts w:hint="eastAsia" w:hAnsi="宋体"/>
        </w:rPr>
        <w:t>DY/T 6—2021 数字电影放映用还音设备技术要求和测量方法</w:t>
      </w:r>
    </w:p>
    <w:p w14:paraId="5D67960D">
      <w:pPr>
        <w:pStyle w:val="233"/>
        <w:rPr>
          <w:rFonts w:hAnsi="宋体"/>
        </w:rPr>
      </w:pPr>
      <w:r>
        <w:rPr>
          <w:rFonts w:hint="eastAsia" w:hAnsi="宋体"/>
        </w:rPr>
        <w:t>GY/T 158—2000</w:t>
      </w:r>
      <w:r>
        <w:rPr>
          <w:rFonts w:hAnsi="宋体"/>
        </w:rPr>
        <w:t xml:space="preserve"> 演播室数字音频信号接口</w:t>
      </w:r>
    </w:p>
    <w:p w14:paraId="28ED71D1">
      <w:pPr>
        <w:pStyle w:val="233"/>
        <w:rPr>
          <w:rFonts w:hint="default" w:hAnsi="宋体" w:eastAsia="宋体"/>
          <w:lang w:val="en-US" w:eastAsia="zh-CN"/>
        </w:rPr>
      </w:pPr>
      <w:r>
        <w:rPr>
          <w:rFonts w:hint="eastAsia" w:hAnsi="宋体"/>
          <w:lang w:val="en-US" w:eastAsia="zh-CN"/>
        </w:rPr>
        <w:t>GY/T 311 电影院视听环境技术要求和测量方法</w:t>
      </w:r>
    </w:p>
    <w:bookmarkEnd w:id="48"/>
    <w:p w14:paraId="656537A2">
      <w:pPr>
        <w:pStyle w:val="107"/>
        <w:spacing w:before="312" w:after="312"/>
      </w:pPr>
      <w:bookmarkStart w:id="49" w:name="_Toc203577722"/>
      <w:bookmarkStart w:id="50" w:name="_Toc54597420"/>
      <w:bookmarkStart w:id="51" w:name="_Toc7081"/>
      <w:r>
        <w:rPr>
          <w:rFonts w:hint="eastAsia"/>
          <w:szCs w:val="21"/>
        </w:rPr>
        <w:t>术语和定义</w:t>
      </w:r>
      <w:bookmarkEnd w:id="49"/>
      <w:bookmarkEnd w:id="50"/>
      <w:bookmarkEnd w:id="51"/>
    </w:p>
    <w:p w14:paraId="50CDAE27">
      <w:pPr>
        <w:pStyle w:val="59"/>
        <w:ind w:firstLine="420"/>
      </w:pPr>
      <w:bookmarkStart w:id="52" w:name="_Toc26986532"/>
      <w:bookmarkEnd w:id="52"/>
      <w:sdt>
        <w:sdtPr>
          <w:id w:val="-1909835108"/>
          <w:placeholder>
            <w:docPart w:val="4B79669EA2CA43179F6E6C9296690BC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p>
    <w:p w14:paraId="7C23714A">
      <w:pPr>
        <w:pStyle w:val="226"/>
        <w:ind w:left="420" w:hanging="420" w:hangingChars="200"/>
      </w:pPr>
    </w:p>
    <w:p w14:paraId="528571E7">
      <w:pPr>
        <w:pStyle w:val="226"/>
        <w:numPr>
          <w:ilvl w:val="0"/>
          <w:numId w:val="0"/>
        </w:numPr>
        <w:ind w:left="420"/>
        <w:rPr>
          <w:rFonts w:ascii="黑体" w:hAnsi="黑体" w:eastAsia="黑体"/>
        </w:rPr>
      </w:pPr>
      <w:r>
        <w:rPr>
          <w:rFonts w:hint="eastAsia" w:ascii="黑体" w:hAnsi="黑体" w:eastAsia="黑体"/>
        </w:rPr>
        <w:t xml:space="preserve">数字影院沉浸式音频处理器 </w:t>
      </w:r>
      <w:r>
        <w:rPr>
          <w:rFonts w:ascii="黑体" w:hAnsi="黑体" w:eastAsia="黑体"/>
        </w:rPr>
        <w:t>digital cinema immersive</w:t>
      </w:r>
      <w:r>
        <w:rPr>
          <w:rFonts w:hint="eastAsia" w:ascii="黑体" w:hAnsi="黑体" w:eastAsia="黑体"/>
        </w:rPr>
        <w:t xml:space="preserve"> audio</w:t>
      </w:r>
      <w:r>
        <w:rPr>
          <w:rFonts w:ascii="黑体" w:hAnsi="黑体" w:eastAsia="黑体"/>
        </w:rPr>
        <w:t xml:space="preserve"> processor</w:t>
      </w:r>
    </w:p>
    <w:p w14:paraId="10E0C04E">
      <w:pPr>
        <w:pStyle w:val="233"/>
      </w:pPr>
      <w:r>
        <w:rPr>
          <w:rFonts w:hint="eastAsia"/>
        </w:rPr>
        <w:t>数字影院放映中用于处理集成媒体模块输出的带有元数据的沉浸式音频比特流，并实现解码、渲染、均衡调节、数模转换和各通道延时调节等功能的音频信号处理设备。</w:t>
      </w:r>
    </w:p>
    <w:p w14:paraId="6B9FBCBE">
      <w:pPr>
        <w:pStyle w:val="108"/>
        <w:spacing w:before="156" w:after="156"/>
      </w:pPr>
      <w:bookmarkStart w:id="53" w:name="_Toc203572905"/>
      <w:bookmarkEnd w:id="53"/>
      <w:bookmarkStart w:id="54" w:name="_Toc203393360"/>
      <w:bookmarkEnd w:id="54"/>
      <w:bookmarkStart w:id="55" w:name="_Toc203577723"/>
      <w:bookmarkEnd w:id="55"/>
      <w:bookmarkStart w:id="56" w:name="_Toc1736"/>
      <w:bookmarkEnd w:id="56"/>
      <w:bookmarkStart w:id="57" w:name="_Toc200977966"/>
      <w:bookmarkEnd w:id="57"/>
      <w:bookmarkStart w:id="58" w:name="_Toc200958670"/>
      <w:bookmarkEnd w:id="58"/>
    </w:p>
    <w:p w14:paraId="551A73CC">
      <w:pPr>
        <w:pStyle w:val="226"/>
        <w:numPr>
          <w:ilvl w:val="0"/>
          <w:numId w:val="0"/>
        </w:numPr>
        <w:ind w:left="420"/>
        <w:rPr>
          <w:rFonts w:ascii="黑体" w:hAnsi="黑体" w:eastAsia="黑体"/>
        </w:rPr>
      </w:pPr>
      <w:r>
        <w:rPr>
          <w:rFonts w:hint="eastAsia" w:ascii="黑体" w:hAnsi="黑体" w:eastAsia="黑体"/>
        </w:rPr>
        <w:t>沉浸式音频比特流 immersive audio bitstream</w:t>
      </w:r>
    </w:p>
    <w:p w14:paraId="691C5072">
      <w:pPr>
        <w:pStyle w:val="59"/>
        <w:ind w:firstLine="420"/>
      </w:pPr>
      <w:r>
        <w:rPr>
          <w:rFonts w:hint="eastAsia"/>
        </w:rPr>
        <w:t>含声床音频内容、对象音频内容及其所需的对象元数据的用于影院放映的沉浸式音频文件编码比特流。</w:t>
      </w:r>
    </w:p>
    <w:p w14:paraId="614BB760">
      <w:pPr>
        <w:pStyle w:val="183"/>
      </w:pPr>
      <w:r>
        <w:rPr>
          <w:rFonts w:hint="eastAsia"/>
        </w:rPr>
        <w:t>沉浸式音频比特流编码通常符合SMPTE ST 2098-2:2022标准。</w:t>
      </w:r>
    </w:p>
    <w:p w14:paraId="448A4EBF">
      <w:pPr>
        <w:pStyle w:val="183"/>
      </w:pPr>
      <w:r>
        <w:rPr>
          <w:rFonts w:hint="eastAsia"/>
        </w:rPr>
        <w:t>沉浸式音频对象元数据</w:t>
      </w:r>
      <w:bookmarkStart w:id="59" w:name="OLE_LINK11"/>
      <w:r>
        <w:rPr>
          <w:rFonts w:hint="eastAsia"/>
        </w:rPr>
        <w:t>通常符合SMPTE ST 2098-1:2018</w:t>
      </w:r>
      <w:bookmarkEnd w:id="59"/>
      <w:r>
        <w:rPr>
          <w:rFonts w:hint="eastAsia"/>
        </w:rPr>
        <w:t>标准。</w:t>
      </w:r>
    </w:p>
    <w:p w14:paraId="63AD5771">
      <w:pPr>
        <w:pStyle w:val="108"/>
        <w:spacing w:before="156" w:after="156"/>
      </w:pPr>
      <w:bookmarkStart w:id="60" w:name="_Toc200958671"/>
      <w:bookmarkEnd w:id="60"/>
      <w:bookmarkStart w:id="61" w:name="_Toc203572906"/>
      <w:bookmarkEnd w:id="61"/>
      <w:bookmarkStart w:id="62" w:name="_Toc203577724"/>
      <w:bookmarkEnd w:id="62"/>
      <w:bookmarkStart w:id="63" w:name="_Toc32096"/>
      <w:bookmarkEnd w:id="63"/>
      <w:bookmarkStart w:id="64" w:name="_Toc203393361"/>
      <w:bookmarkEnd w:id="64"/>
      <w:bookmarkStart w:id="65" w:name="_Toc200977967"/>
      <w:bookmarkEnd w:id="65"/>
    </w:p>
    <w:p w14:paraId="6C9C7BF8">
      <w:pPr>
        <w:pStyle w:val="226"/>
        <w:numPr>
          <w:ilvl w:val="0"/>
          <w:numId w:val="0"/>
        </w:numPr>
        <w:ind w:left="420"/>
        <w:rPr>
          <w:rFonts w:ascii="黑体" w:hAnsi="黑体" w:eastAsia="黑体"/>
        </w:rPr>
      </w:pPr>
      <w:bookmarkStart w:id="66" w:name="OLE_LINK34"/>
      <w:r>
        <w:rPr>
          <w:rFonts w:hint="eastAsia" w:ascii="黑体" w:hAnsi="黑体" w:eastAsia="黑体"/>
        </w:rPr>
        <w:t>沉浸式音频同步信号</w:t>
      </w:r>
      <w:bookmarkEnd w:id="66"/>
      <w:r>
        <w:rPr>
          <w:rFonts w:hint="eastAsia" w:ascii="黑体" w:hAnsi="黑体" w:eastAsia="黑体"/>
        </w:rPr>
        <w:t xml:space="preserve"> immersive audio </w:t>
      </w:r>
      <w:r>
        <w:rPr>
          <w:rFonts w:ascii="黑体" w:hAnsi="黑体" w:eastAsia="黑体"/>
        </w:rPr>
        <w:t>synchronization signal</w:t>
      </w:r>
    </w:p>
    <w:p w14:paraId="79E71BB2">
      <w:pPr>
        <w:pStyle w:val="59"/>
        <w:ind w:firstLine="420"/>
      </w:pPr>
      <w:r>
        <w:rPr>
          <w:rFonts w:hint="eastAsia"/>
        </w:rPr>
        <w:t>在播放含沉浸式音频内容的数字电影节目时，由集成媒体模块实时生成，用以实现音频与视频、字幕等媒体元素间帧级同步的二进制时间码信号。</w:t>
      </w:r>
    </w:p>
    <w:p w14:paraId="45FB4937">
      <w:pPr>
        <w:pStyle w:val="183"/>
        <w:numPr>
          <w:ilvl w:val="0"/>
          <w:numId w:val="34"/>
        </w:numPr>
      </w:pPr>
      <w:r>
        <w:rPr>
          <w:rFonts w:hint="eastAsia"/>
        </w:rPr>
        <w:t>该信号基于音频采样精度，其接口协议通常符合SMPTE ST430-14标准。</w:t>
      </w:r>
    </w:p>
    <w:p w14:paraId="1C23F95A">
      <w:pPr>
        <w:pStyle w:val="183"/>
        <w:numPr>
          <w:ilvl w:val="0"/>
          <w:numId w:val="34"/>
        </w:numPr>
      </w:pPr>
      <w:r>
        <w:rPr>
          <w:rFonts w:hint="eastAsia"/>
        </w:rPr>
        <w:t>该信号的电</w:t>
      </w:r>
      <w:r>
        <w:rPr>
          <w:rFonts w:hint="eastAsia"/>
          <w:lang w:val="en-US" w:eastAsia="zh-CN"/>
        </w:rPr>
        <w:t>气</w:t>
      </w:r>
      <w:r>
        <w:rPr>
          <w:rFonts w:hint="eastAsia"/>
        </w:rPr>
        <w:t>接口通常符合AES/EBU接口标准。</w:t>
      </w:r>
    </w:p>
    <w:p w14:paraId="15347679">
      <w:pPr>
        <w:pStyle w:val="59"/>
        <w:ind w:firstLine="420"/>
        <w:rPr>
          <w:rFonts w:hint="eastAsia"/>
        </w:rPr>
      </w:pPr>
    </w:p>
    <w:p w14:paraId="1B2C013A">
      <w:pPr>
        <w:pStyle w:val="108"/>
        <w:spacing w:before="156" w:after="156"/>
      </w:pPr>
      <w:bookmarkStart w:id="67" w:name="_Toc203572907"/>
      <w:bookmarkEnd w:id="67"/>
      <w:bookmarkStart w:id="68" w:name="_Toc203577725"/>
      <w:bookmarkEnd w:id="68"/>
      <w:bookmarkStart w:id="69" w:name="_Toc23530"/>
      <w:bookmarkEnd w:id="69"/>
      <w:bookmarkStart w:id="70" w:name="_Toc200977968"/>
      <w:bookmarkEnd w:id="70"/>
      <w:bookmarkStart w:id="71" w:name="_Toc200958673"/>
      <w:bookmarkEnd w:id="71"/>
      <w:bookmarkStart w:id="72" w:name="_Toc203393362"/>
      <w:bookmarkEnd w:id="72"/>
    </w:p>
    <w:p w14:paraId="3EBB5D37">
      <w:pPr>
        <w:pStyle w:val="226"/>
        <w:numPr>
          <w:ilvl w:val="0"/>
          <w:numId w:val="0"/>
        </w:numPr>
        <w:ind w:left="420"/>
        <w:rPr>
          <w:rFonts w:ascii="黑体" w:hAnsi="黑体" w:eastAsia="黑体"/>
        </w:rPr>
      </w:pPr>
      <w:r>
        <w:rPr>
          <w:rFonts w:hint="eastAsia" w:ascii="黑体" w:hAnsi="黑体" w:eastAsia="黑体"/>
        </w:rPr>
        <w:t>渲染 render</w:t>
      </w:r>
    </w:p>
    <w:p w14:paraId="44ABE942">
      <w:pPr>
        <w:pStyle w:val="59"/>
        <w:ind w:firstLine="420"/>
      </w:pPr>
      <w:r>
        <w:rPr>
          <w:rFonts w:hint="eastAsia"/>
        </w:rPr>
        <w:t>将基于声床和声音对象并且携带对象元数据的沉浸式音频内容转换为适合影院声音系统播放的音频信号的过程。</w:t>
      </w:r>
      <w:bookmarkStart w:id="73" w:name="_Toc203572908"/>
      <w:bookmarkEnd w:id="73"/>
      <w:bookmarkStart w:id="74" w:name="_Toc203393363"/>
      <w:bookmarkEnd w:id="74"/>
      <w:bookmarkStart w:id="75" w:name="_Toc200977969"/>
      <w:bookmarkEnd w:id="75"/>
      <w:bookmarkStart w:id="76" w:name="_Toc203577726"/>
      <w:bookmarkEnd w:id="76"/>
    </w:p>
    <w:p w14:paraId="608C802B">
      <w:pPr>
        <w:pStyle w:val="108"/>
        <w:spacing w:before="156" w:after="156"/>
      </w:pPr>
      <w:bookmarkStart w:id="77" w:name="_Toc31431"/>
      <w:bookmarkEnd w:id="77"/>
    </w:p>
    <w:p w14:paraId="2CF65A6F">
      <w:pPr>
        <w:pStyle w:val="226"/>
        <w:numPr>
          <w:ilvl w:val="0"/>
          <w:numId w:val="0"/>
        </w:numPr>
        <w:ind w:left="420"/>
        <w:rPr>
          <w:rFonts w:ascii="黑体" w:hAnsi="黑体" w:eastAsia="黑体"/>
        </w:rPr>
      </w:pPr>
      <w:r>
        <w:rPr>
          <w:rFonts w:hint="eastAsia" w:ascii="黑体" w:hAnsi="黑体" w:eastAsia="黑体"/>
        </w:rPr>
        <w:t>声床 audio bed</w:t>
      </w:r>
    </w:p>
    <w:p w14:paraId="6744D0DC">
      <w:pPr>
        <w:pStyle w:val="226"/>
        <w:numPr>
          <w:ilvl w:val="0"/>
          <w:numId w:val="0"/>
        </w:numPr>
        <w:ind w:left="420"/>
      </w:pPr>
      <w:r>
        <w:rPr>
          <w:rFonts w:hint="eastAsia"/>
        </w:rPr>
        <w:t>组成沉浸式混音音轨基础的声场组。</w:t>
      </w:r>
    </w:p>
    <w:p w14:paraId="43EC2851">
      <w:pPr>
        <w:pStyle w:val="184"/>
        <w:ind w:left="0" w:leftChars="0"/>
        <w:jc w:val="left"/>
      </w:pPr>
      <w:r>
        <w:rPr>
          <w:rFonts w:hint="eastAsia"/>
        </w:rPr>
        <w:t>7.1、9.1等。</w:t>
      </w:r>
    </w:p>
    <w:p w14:paraId="525F24B4">
      <w:pPr>
        <w:pStyle w:val="183"/>
        <w:widowControl/>
        <w:numPr>
          <w:ilvl w:val="0"/>
          <w:numId w:val="35"/>
        </w:numPr>
        <w:jc w:val="left"/>
      </w:pPr>
      <w:r>
        <w:rPr>
          <w:rFonts w:hint="eastAsia"/>
        </w:rPr>
        <w:t xml:space="preserve">一部影片沉浸式音频通常仅包含一组声床。 </w:t>
      </w:r>
    </w:p>
    <w:p w14:paraId="7D48915F">
      <w:pPr>
        <w:pStyle w:val="183"/>
        <w:widowControl/>
        <w:jc w:val="left"/>
      </w:pPr>
      <w:r>
        <w:rPr>
          <w:rFonts w:hint="eastAsia"/>
        </w:rPr>
        <w:t>声床的扬声器分配通常是静态的，在整个节目中不会改变。</w:t>
      </w:r>
    </w:p>
    <w:p w14:paraId="1F0A7368">
      <w:pPr>
        <w:pStyle w:val="183"/>
      </w:pPr>
      <w:r>
        <w:rPr>
          <w:rFonts w:hint="eastAsia"/>
        </w:rPr>
        <w:t>7.1声床L、R、C、LFE、Lss、Rss、Lrs、Rrs。</w:t>
      </w:r>
    </w:p>
    <w:p w14:paraId="1D49947B">
      <w:pPr>
        <w:pStyle w:val="183"/>
      </w:pPr>
      <w:r>
        <w:rPr>
          <w:rFonts w:hint="eastAsia"/>
        </w:rPr>
        <w:t>9.1声床L、R、C、LFE、Lss、Rss、Lrs、Rrs、Lts、Rts。</w:t>
      </w:r>
    </w:p>
    <w:p w14:paraId="433B084B">
      <w:pPr>
        <w:pStyle w:val="183"/>
        <w:numPr>
          <w:ilvl w:val="0"/>
          <w:numId w:val="0"/>
        </w:numPr>
        <w:ind w:firstLine="360" w:firstLineChars="200"/>
      </w:pPr>
      <w:r>
        <w:rPr>
          <w:rFonts w:hint="eastAsia"/>
        </w:rPr>
        <w:t>[来源：</w:t>
      </w:r>
      <w:r>
        <w:t>T/CSMPTE 35—2024</w:t>
      </w:r>
      <w:r>
        <w:rPr>
          <w:rFonts w:hint="eastAsia"/>
        </w:rPr>
        <w:t>，定义3.2，有修改]</w:t>
      </w:r>
    </w:p>
    <w:p w14:paraId="71D2FE78">
      <w:pPr>
        <w:pStyle w:val="108"/>
        <w:spacing w:before="156" w:after="156"/>
      </w:pPr>
      <w:bookmarkStart w:id="78" w:name="_Toc203393364"/>
      <w:bookmarkEnd w:id="78"/>
      <w:bookmarkStart w:id="79" w:name="_Toc200977970"/>
      <w:bookmarkEnd w:id="79"/>
      <w:bookmarkStart w:id="80" w:name="_Toc203572909"/>
      <w:bookmarkEnd w:id="80"/>
      <w:bookmarkStart w:id="81" w:name="_Toc10864"/>
      <w:bookmarkEnd w:id="81"/>
      <w:bookmarkStart w:id="82" w:name="_Toc203577727"/>
      <w:bookmarkEnd w:id="82"/>
    </w:p>
    <w:p w14:paraId="3BFE3770">
      <w:pPr>
        <w:pStyle w:val="226"/>
        <w:numPr>
          <w:ilvl w:val="0"/>
          <w:numId w:val="0"/>
        </w:numPr>
        <w:ind w:left="420"/>
        <w:rPr>
          <w:rFonts w:ascii="黑体" w:hAnsi="黑体" w:eastAsia="黑体"/>
        </w:rPr>
      </w:pPr>
      <w:bookmarkStart w:id="83" w:name="OLE_LINK3"/>
      <w:r>
        <w:rPr>
          <w:rFonts w:hint="eastAsia" w:ascii="黑体" w:hAnsi="黑体" w:eastAsia="黑体"/>
        </w:rPr>
        <w:t>对象元数据 object metadata</w:t>
      </w:r>
    </w:p>
    <w:p w14:paraId="3E2910D0">
      <w:pPr>
        <w:pStyle w:val="59"/>
        <w:ind w:firstLine="420"/>
      </w:pPr>
      <w:r>
        <w:rPr>
          <w:rFonts w:hint="eastAsia"/>
        </w:rPr>
        <w:t>用于描述声音对象在三维空间中的位置、增益、距离、运动等属性的信息。</w:t>
      </w:r>
    </w:p>
    <w:bookmarkEnd w:id="83"/>
    <w:p w14:paraId="76150A4D">
      <w:pPr>
        <w:pStyle w:val="108"/>
        <w:spacing w:before="156" w:after="156"/>
      </w:pPr>
      <w:bookmarkStart w:id="84" w:name="_Toc203577728"/>
      <w:bookmarkEnd w:id="84"/>
      <w:bookmarkStart w:id="85" w:name="_Toc200977971"/>
      <w:bookmarkEnd w:id="85"/>
      <w:bookmarkStart w:id="86" w:name="_Toc203393365"/>
      <w:bookmarkEnd w:id="86"/>
      <w:bookmarkStart w:id="87" w:name="_Toc203572910"/>
      <w:bookmarkEnd w:id="87"/>
      <w:bookmarkStart w:id="88" w:name="_Toc938"/>
      <w:bookmarkEnd w:id="88"/>
    </w:p>
    <w:p w14:paraId="40D8F3E9">
      <w:pPr>
        <w:pStyle w:val="226"/>
        <w:numPr>
          <w:ilvl w:val="0"/>
          <w:numId w:val="0"/>
        </w:numPr>
        <w:ind w:left="420"/>
        <w:rPr>
          <w:rFonts w:ascii="黑体" w:hAnsi="黑体" w:eastAsia="黑体"/>
        </w:rPr>
      </w:pPr>
      <w:r>
        <w:rPr>
          <w:rFonts w:hint="eastAsia" w:ascii="黑体" w:hAnsi="黑体" w:eastAsia="黑体"/>
        </w:rPr>
        <w:t>音频通路 audio route</w:t>
      </w:r>
    </w:p>
    <w:p w14:paraId="3063C935">
      <w:pPr>
        <w:pStyle w:val="59"/>
        <w:ind w:firstLine="420"/>
      </w:pPr>
      <w:r>
        <w:rPr>
          <w:rFonts w:hint="eastAsia"/>
        </w:rPr>
        <w:t>用于还原沉浸式音频声床和对象内容的音频通道。</w:t>
      </w:r>
    </w:p>
    <w:p w14:paraId="0635DA7D">
      <w:pPr>
        <w:pStyle w:val="107"/>
        <w:spacing w:before="312" w:after="312"/>
      </w:pPr>
      <w:bookmarkStart w:id="89" w:name="_Toc200977972"/>
      <w:bookmarkEnd w:id="89"/>
      <w:bookmarkStart w:id="90" w:name="_Toc203577729"/>
      <w:bookmarkEnd w:id="90"/>
      <w:bookmarkStart w:id="91" w:name="_Toc203572911"/>
      <w:bookmarkEnd w:id="91"/>
      <w:bookmarkStart w:id="92" w:name="_Toc203393366"/>
      <w:bookmarkEnd w:id="92"/>
      <w:bookmarkStart w:id="93" w:name="_Toc203577730"/>
      <w:bookmarkStart w:id="94" w:name="_Toc22668"/>
      <w:r>
        <w:rPr>
          <w:rFonts w:hint="eastAsia"/>
        </w:rPr>
        <w:t>缩略语</w:t>
      </w:r>
      <w:bookmarkEnd w:id="93"/>
      <w:bookmarkEnd w:id="94"/>
    </w:p>
    <w:p w14:paraId="1F76728D">
      <w:pPr>
        <w:pStyle w:val="59"/>
        <w:ind w:firstLine="420"/>
      </w:pPr>
      <w:r>
        <w:rPr>
          <w:rFonts w:hint="eastAsia"/>
        </w:rPr>
        <w:t>下列缩略语适用于本文件。</w:t>
      </w:r>
    </w:p>
    <w:p w14:paraId="330FC7EB">
      <w:pPr>
        <w:pStyle w:val="59"/>
        <w:ind w:firstLine="420"/>
      </w:pPr>
      <w:r>
        <w:rPr>
          <w:rFonts w:hint="eastAsia"/>
        </w:rPr>
        <w:t>AES/EBU 音频工程师协会/欧洲广播联盟（Audio Engineering Society/European Broadcast Union）</w:t>
      </w:r>
    </w:p>
    <w:p w14:paraId="0B59FE1A">
      <w:pPr>
        <w:pStyle w:val="59"/>
        <w:ind w:firstLine="420"/>
      </w:pPr>
      <w:r>
        <w:rPr>
          <w:rFonts w:hint="eastAsia"/>
        </w:rPr>
        <w:t>C 中置声道（Center）</w:t>
      </w:r>
    </w:p>
    <w:p w14:paraId="473FBABA">
      <w:pPr>
        <w:pStyle w:val="59"/>
        <w:ind w:firstLine="420"/>
      </w:pPr>
      <w:r>
        <w:rPr>
          <w:rFonts w:hint="eastAsia"/>
        </w:rPr>
        <w:t>DCP 数字影院数据包（Digital Cinema Package）</w:t>
      </w:r>
    </w:p>
    <w:p w14:paraId="3140F2DC">
      <w:pPr>
        <w:pStyle w:val="59"/>
        <w:ind w:firstLine="420"/>
        <w:rPr>
          <w:rFonts w:hint="eastAsia"/>
        </w:rPr>
      </w:pPr>
      <w:r>
        <w:rPr>
          <w:rFonts w:hint="default"/>
          <w:lang w:val="en-US" w:eastAsia="zh-CN"/>
        </w:rPr>
        <w:t>h</w:t>
      </w:r>
      <w:r>
        <w:rPr>
          <w:rFonts w:hint="eastAsia"/>
        </w:rPr>
        <w:t xml:space="preserve">ex </w:t>
      </w:r>
      <w:r>
        <w:t>十六进制</w:t>
      </w:r>
      <w:r>
        <w:rPr>
          <w:rFonts w:hint="eastAsia"/>
        </w:rPr>
        <w:t>（H</w:t>
      </w:r>
      <w:r>
        <w:t>exadecimal</w:t>
      </w:r>
      <w:r>
        <w:rPr>
          <w:rFonts w:hint="eastAsia"/>
        </w:rPr>
        <w:t>）</w:t>
      </w:r>
    </w:p>
    <w:p w14:paraId="26D827D2">
      <w:pPr>
        <w:pStyle w:val="59"/>
        <w:ind w:firstLine="420"/>
      </w:pPr>
      <w:r>
        <w:rPr>
          <w:rFonts w:hint="eastAsia"/>
        </w:rPr>
        <w:t>HTTP 超文本传输协议（HyperText Transfer Protocol ）</w:t>
      </w:r>
    </w:p>
    <w:p w14:paraId="63482D5F">
      <w:pPr>
        <w:pStyle w:val="59"/>
        <w:ind w:firstLine="420"/>
      </w:pPr>
      <w:r>
        <w:rPr>
          <w:rFonts w:hint="eastAsia"/>
        </w:rPr>
        <w:t>KDM 密钥传送消息（Key Delivery Message）</w:t>
      </w:r>
    </w:p>
    <w:p w14:paraId="042284D7">
      <w:pPr>
        <w:pStyle w:val="59"/>
        <w:ind w:firstLine="420"/>
      </w:pPr>
      <w:r>
        <w:rPr>
          <w:rFonts w:hint="eastAsia"/>
        </w:rPr>
        <w:t>L 左声道（Left）</w:t>
      </w:r>
    </w:p>
    <w:p w14:paraId="672CA04B">
      <w:pPr>
        <w:pStyle w:val="59"/>
        <w:ind w:firstLine="420"/>
      </w:pPr>
      <w:r>
        <w:rPr>
          <w:rFonts w:hint="eastAsia"/>
        </w:rPr>
        <w:t>LFE 次低频声道（Low Frequency Effects）</w:t>
      </w:r>
    </w:p>
    <w:p w14:paraId="7267D9B8">
      <w:pPr>
        <w:pStyle w:val="59"/>
        <w:ind w:firstLine="420"/>
      </w:pPr>
      <w:r>
        <w:rPr>
          <w:rFonts w:hint="eastAsia"/>
        </w:rPr>
        <w:t>Lrs 左后环绕声道（Left rear surround）</w:t>
      </w:r>
    </w:p>
    <w:p w14:paraId="4636FEDE">
      <w:pPr>
        <w:pStyle w:val="59"/>
        <w:ind w:firstLine="420"/>
      </w:pPr>
      <w:r>
        <w:rPr>
          <w:rFonts w:hint="eastAsia"/>
        </w:rPr>
        <w:t>Lss 左侧环绕声道（Left side surround）</w:t>
      </w:r>
    </w:p>
    <w:p w14:paraId="50B948F1">
      <w:pPr>
        <w:pStyle w:val="59"/>
        <w:ind w:firstLine="420"/>
      </w:pPr>
      <w:r>
        <w:rPr>
          <w:rFonts w:hint="eastAsia"/>
        </w:rPr>
        <w:t>Lts 左顶环绕声道（Left top surround）</w:t>
      </w:r>
    </w:p>
    <w:p w14:paraId="0D9B360C">
      <w:pPr>
        <w:pStyle w:val="59"/>
        <w:ind w:firstLine="420"/>
      </w:pPr>
      <w:r>
        <w:rPr>
          <w:rFonts w:hint="eastAsia"/>
        </w:rPr>
        <w:t>MXF 素材交换格式（Material eXchange Format）</w:t>
      </w:r>
    </w:p>
    <w:p w14:paraId="3160A0C1">
      <w:pPr>
        <w:pStyle w:val="59"/>
        <w:ind w:firstLine="420"/>
      </w:pPr>
      <w:r>
        <w:rPr>
          <w:rFonts w:hint="eastAsia"/>
        </w:rPr>
        <w:t>R 右声道（Right）</w:t>
      </w:r>
    </w:p>
    <w:p w14:paraId="5386D70C">
      <w:pPr>
        <w:pStyle w:val="59"/>
        <w:ind w:firstLine="420"/>
      </w:pPr>
      <w:r>
        <w:rPr>
          <w:rFonts w:hint="eastAsia"/>
        </w:rPr>
        <w:t>Rrs 右后环绕声道（Right rear surround）</w:t>
      </w:r>
    </w:p>
    <w:p w14:paraId="5582E7F7">
      <w:pPr>
        <w:pStyle w:val="59"/>
        <w:ind w:firstLine="420"/>
      </w:pPr>
      <w:r>
        <w:rPr>
          <w:rFonts w:hint="eastAsia"/>
        </w:rPr>
        <w:t>Rss 右侧环绕声道（Right side surround）</w:t>
      </w:r>
    </w:p>
    <w:p w14:paraId="671F0FFF">
      <w:pPr>
        <w:pStyle w:val="59"/>
        <w:ind w:firstLine="420"/>
      </w:pPr>
      <w:r>
        <w:rPr>
          <w:rFonts w:hint="eastAsia"/>
        </w:rPr>
        <w:t>Rts 右顶环绕声道（Right top surround）</w:t>
      </w:r>
    </w:p>
    <w:p w14:paraId="6373301F">
      <w:pPr>
        <w:pStyle w:val="59"/>
        <w:ind w:firstLine="420"/>
      </w:pPr>
      <w:r>
        <w:rPr>
          <w:rFonts w:hint="eastAsia"/>
        </w:rPr>
        <w:t>XLR 卡侬接头（Cannon XL-series）</w:t>
      </w:r>
    </w:p>
    <w:p w14:paraId="4919B674">
      <w:pPr>
        <w:pStyle w:val="107"/>
        <w:spacing w:before="312" w:after="312"/>
      </w:pPr>
      <w:bookmarkStart w:id="95" w:name="_Toc203577731"/>
      <w:bookmarkStart w:id="96" w:name="_Toc54597421"/>
      <w:bookmarkStart w:id="97" w:name="_Toc11424"/>
      <w:r>
        <w:rPr>
          <w:rFonts w:hint="eastAsia"/>
        </w:rPr>
        <w:t>技术要求</w:t>
      </w:r>
      <w:bookmarkEnd w:id="95"/>
      <w:bookmarkEnd w:id="96"/>
      <w:bookmarkEnd w:id="97"/>
    </w:p>
    <w:p w14:paraId="0C80074A">
      <w:pPr>
        <w:pStyle w:val="108"/>
        <w:spacing w:before="156" w:after="156"/>
      </w:pPr>
      <w:bookmarkStart w:id="98" w:name="_Toc203577732"/>
      <w:bookmarkStart w:id="99" w:name="_Toc6889"/>
      <w:r>
        <w:rPr>
          <w:rFonts w:hint="eastAsia"/>
        </w:rPr>
        <w:t>基本功能</w:t>
      </w:r>
      <w:bookmarkEnd w:id="98"/>
      <w:bookmarkEnd w:id="99"/>
    </w:p>
    <w:p w14:paraId="32E4CC5D">
      <w:pPr>
        <w:pStyle w:val="59"/>
        <w:ind w:firstLine="420"/>
      </w:pPr>
      <w:bookmarkStart w:id="100" w:name="OLE_LINK25"/>
      <w:r>
        <w:rPr>
          <w:rFonts w:hint="eastAsia"/>
        </w:rPr>
        <w:t>数字影院沉浸式音频处理器</w:t>
      </w:r>
      <w:bookmarkEnd w:id="100"/>
      <w:r>
        <w:rPr>
          <w:rFonts w:hint="eastAsia"/>
        </w:rPr>
        <w:t>基本功能技术要求应符合表1的规定</w:t>
      </w:r>
    </w:p>
    <w:p w14:paraId="0A846409">
      <w:pPr>
        <w:pStyle w:val="115"/>
        <w:spacing w:before="156" w:after="156"/>
        <w:ind w:left="0"/>
      </w:pPr>
      <w:r>
        <w:rPr>
          <w:rFonts w:hint="eastAsia"/>
        </w:rPr>
        <w:t>沉浸式音频处理器基本功能技术要求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43"/>
        <w:gridCol w:w="6650"/>
      </w:tblGrid>
      <w:tr w14:paraId="38FCD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3877CF38">
            <w:pPr>
              <w:pStyle w:val="181"/>
            </w:pPr>
            <w:r>
              <w:rPr>
                <w:rFonts w:hint="eastAsia"/>
              </w:rPr>
              <w:t>序号</w:t>
            </w:r>
          </w:p>
        </w:tc>
        <w:tc>
          <w:tcPr>
            <w:tcW w:w="1843" w:type="dxa"/>
            <w:tcBorders>
              <w:top w:val="single" w:color="auto" w:sz="8" w:space="0"/>
              <w:bottom w:val="single" w:color="auto" w:sz="8" w:space="0"/>
            </w:tcBorders>
            <w:vAlign w:val="center"/>
          </w:tcPr>
          <w:p w14:paraId="3548E903">
            <w:pPr>
              <w:pStyle w:val="181"/>
            </w:pPr>
            <w:r>
              <w:rPr>
                <w:rFonts w:hint="eastAsia"/>
              </w:rPr>
              <w:t>参数</w:t>
            </w:r>
          </w:p>
        </w:tc>
        <w:tc>
          <w:tcPr>
            <w:tcW w:w="6650" w:type="dxa"/>
            <w:tcBorders>
              <w:top w:val="single" w:color="auto" w:sz="8" w:space="0"/>
              <w:bottom w:val="single" w:color="auto" w:sz="8" w:space="0"/>
            </w:tcBorders>
            <w:vAlign w:val="center"/>
          </w:tcPr>
          <w:p w14:paraId="7293A8F2">
            <w:pPr>
              <w:pStyle w:val="181"/>
            </w:pPr>
            <w:r>
              <w:rPr>
                <w:rFonts w:hint="eastAsia"/>
              </w:rPr>
              <w:t>技术要求</w:t>
            </w:r>
          </w:p>
        </w:tc>
      </w:tr>
      <w:tr w14:paraId="74C5B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304A58A1">
            <w:pPr>
              <w:pStyle w:val="181"/>
            </w:pPr>
            <w:r>
              <w:rPr>
                <w:rFonts w:hint="eastAsia"/>
              </w:rPr>
              <w:t>1</w:t>
            </w:r>
          </w:p>
        </w:tc>
        <w:tc>
          <w:tcPr>
            <w:tcW w:w="1843" w:type="dxa"/>
            <w:tcBorders>
              <w:top w:val="single" w:color="auto" w:sz="8" w:space="0"/>
            </w:tcBorders>
            <w:vAlign w:val="center"/>
          </w:tcPr>
          <w:p w14:paraId="7117E4CA">
            <w:pPr>
              <w:pStyle w:val="135"/>
              <w:numPr>
                <w:ilvl w:val="0"/>
                <w:numId w:val="0"/>
              </w:numPr>
              <w:ind w:left="470" w:leftChars="21" w:right="105" w:rightChars="50" w:hanging="426"/>
              <w:jc w:val="center"/>
              <w:rPr>
                <w:rFonts w:hAnsi="宋体"/>
                <w:sz w:val="18"/>
                <w:szCs w:val="18"/>
              </w:rPr>
            </w:pPr>
            <w:r>
              <w:rPr>
                <w:rFonts w:hint="eastAsia" w:hAnsi="宋体"/>
                <w:sz w:val="18"/>
                <w:szCs w:val="18"/>
              </w:rPr>
              <w:t>信号发生</w:t>
            </w:r>
          </w:p>
        </w:tc>
        <w:tc>
          <w:tcPr>
            <w:tcW w:w="6650" w:type="dxa"/>
            <w:tcBorders>
              <w:top w:val="single" w:color="auto" w:sz="8" w:space="0"/>
            </w:tcBorders>
            <w:vAlign w:val="center"/>
          </w:tcPr>
          <w:p w14:paraId="6EB3A17C">
            <w:pPr>
              <w:pStyle w:val="135"/>
              <w:numPr>
                <w:ilvl w:val="0"/>
                <w:numId w:val="0"/>
              </w:numPr>
              <w:ind w:right="105" w:rightChars="50"/>
              <w:rPr>
                <w:rFonts w:hAnsi="宋体"/>
                <w:sz w:val="18"/>
                <w:szCs w:val="18"/>
              </w:rPr>
            </w:pPr>
            <w:r>
              <w:rPr>
                <w:rFonts w:hint="eastAsia" w:hAnsi="宋体"/>
                <w:sz w:val="18"/>
                <w:szCs w:val="18"/>
              </w:rPr>
              <w:t>各输出通道应具备粉红噪声信号（-20 dBFS,20 Hz～20 kHz）、正弦波信号（-20 dBFS，997 Hz）发生功能</w:t>
            </w:r>
          </w:p>
        </w:tc>
      </w:tr>
      <w:tr w14:paraId="22793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tcBorders>
              <w:top w:val="single" w:color="auto" w:sz="8" w:space="0"/>
            </w:tcBorders>
            <w:vAlign w:val="center"/>
          </w:tcPr>
          <w:p w14:paraId="324D4984">
            <w:pPr>
              <w:pStyle w:val="181"/>
            </w:pPr>
            <w:r>
              <w:rPr>
                <w:rFonts w:hint="eastAsia"/>
              </w:rPr>
              <w:t>2</w:t>
            </w:r>
          </w:p>
        </w:tc>
        <w:tc>
          <w:tcPr>
            <w:tcW w:w="1843" w:type="dxa"/>
            <w:vMerge w:val="restart"/>
            <w:tcBorders>
              <w:top w:val="single" w:color="auto" w:sz="8" w:space="0"/>
            </w:tcBorders>
            <w:vAlign w:val="center"/>
          </w:tcPr>
          <w:p w14:paraId="5DD8C112">
            <w:pPr>
              <w:pStyle w:val="181"/>
            </w:pPr>
            <w:r>
              <w:rPr>
                <w:rFonts w:hint="eastAsia"/>
              </w:rPr>
              <w:t>输入</w:t>
            </w:r>
          </w:p>
        </w:tc>
        <w:tc>
          <w:tcPr>
            <w:tcW w:w="6650" w:type="dxa"/>
            <w:tcBorders>
              <w:top w:val="single" w:color="auto" w:sz="8" w:space="0"/>
            </w:tcBorders>
            <w:vAlign w:val="center"/>
          </w:tcPr>
          <w:p w14:paraId="743D247A">
            <w:pPr>
              <w:pStyle w:val="135"/>
              <w:numPr>
                <w:ilvl w:val="0"/>
                <w:numId w:val="0"/>
              </w:numPr>
              <w:ind w:left="0" w:leftChars="0" w:right="0" w:rightChars="0"/>
            </w:pPr>
            <w:bookmarkStart w:id="101" w:name="OLE_LINK7"/>
            <w:r>
              <w:rPr>
                <w:rFonts w:hint="eastAsia" w:hAnsi="Times New Roman"/>
                <w:sz w:val="21"/>
                <w:szCs w:val="21"/>
              </w:rPr>
              <w:t>a</w:t>
            </w:r>
            <w:r>
              <w:rPr>
                <w:rFonts w:hint="eastAsia" w:hAnsi="Times New Roman"/>
                <w:sz w:val="18"/>
                <w:szCs w:val="18"/>
              </w:rPr>
              <w:t>)</w:t>
            </w:r>
            <w:r>
              <w:rPr>
                <w:rFonts w:hint="eastAsia"/>
                <w:sz w:val="18"/>
                <w:szCs w:val="18"/>
              </w:rPr>
              <w:t>应能够实时正确接收来自集成媒体模块的沉浸式音频</w:t>
            </w:r>
            <w:bookmarkEnd w:id="101"/>
            <w:r>
              <w:rPr>
                <w:rFonts w:hint="eastAsia"/>
                <w:sz w:val="18"/>
                <w:szCs w:val="18"/>
              </w:rPr>
              <w:t>比特流</w:t>
            </w:r>
          </w:p>
        </w:tc>
      </w:tr>
      <w:tr w14:paraId="5CCB9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7FC095CB">
            <w:pPr>
              <w:pStyle w:val="181"/>
            </w:pPr>
          </w:p>
        </w:tc>
        <w:tc>
          <w:tcPr>
            <w:tcW w:w="1843" w:type="dxa"/>
            <w:vMerge w:val="continue"/>
            <w:vAlign w:val="center"/>
          </w:tcPr>
          <w:p w14:paraId="4C0FEC9F">
            <w:pPr>
              <w:pStyle w:val="181"/>
            </w:pPr>
          </w:p>
        </w:tc>
        <w:tc>
          <w:tcPr>
            <w:tcW w:w="6650" w:type="dxa"/>
            <w:vAlign w:val="center"/>
          </w:tcPr>
          <w:p w14:paraId="11819924">
            <w:pPr>
              <w:pStyle w:val="135"/>
              <w:numPr>
                <w:ilvl w:val="0"/>
                <w:numId w:val="0"/>
              </w:numPr>
              <w:ind w:left="470" w:leftChars="21" w:right="105" w:rightChars="50" w:hanging="426"/>
              <w:rPr>
                <w:rFonts w:hAnsi="宋体"/>
                <w:sz w:val="18"/>
                <w:szCs w:val="18"/>
              </w:rPr>
            </w:pPr>
            <w:r>
              <w:rPr>
                <w:rFonts w:hint="eastAsia" w:hAnsi="宋体"/>
                <w:sz w:val="18"/>
                <w:szCs w:val="18"/>
              </w:rPr>
              <w:t>b)沉浸式音频比特流接收接口应遵循HTTP传输协议</w:t>
            </w:r>
          </w:p>
        </w:tc>
      </w:tr>
      <w:tr w14:paraId="5406C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50F40488">
            <w:pPr>
              <w:pStyle w:val="181"/>
            </w:pPr>
          </w:p>
        </w:tc>
        <w:tc>
          <w:tcPr>
            <w:tcW w:w="1843" w:type="dxa"/>
            <w:vMerge w:val="continue"/>
            <w:vAlign w:val="center"/>
          </w:tcPr>
          <w:p w14:paraId="3A9288C0">
            <w:pPr>
              <w:pStyle w:val="181"/>
            </w:pPr>
          </w:p>
        </w:tc>
        <w:tc>
          <w:tcPr>
            <w:tcW w:w="6650" w:type="dxa"/>
            <w:vAlign w:val="center"/>
          </w:tcPr>
          <w:p w14:paraId="7FF28C35">
            <w:pPr>
              <w:pStyle w:val="135"/>
              <w:numPr>
                <w:ilvl w:val="0"/>
                <w:numId w:val="0"/>
              </w:numPr>
              <w:ind w:left="470" w:leftChars="21" w:right="105" w:rightChars="50" w:hanging="426"/>
              <w:rPr>
                <w:rFonts w:hAnsi="宋体"/>
                <w:sz w:val="18"/>
                <w:szCs w:val="18"/>
              </w:rPr>
            </w:pPr>
            <w:bookmarkStart w:id="102" w:name="OLE_LINK8"/>
            <w:r>
              <w:rPr>
                <w:rFonts w:hint="eastAsia" w:hAnsi="宋体"/>
                <w:sz w:val="18"/>
                <w:szCs w:val="18"/>
              </w:rPr>
              <w:t>c)应能够实时正确接收沉浸式音频同步信号</w:t>
            </w:r>
            <w:bookmarkEnd w:id="102"/>
          </w:p>
        </w:tc>
      </w:tr>
      <w:tr w14:paraId="2FE314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0BB02F37">
            <w:pPr>
              <w:pStyle w:val="181"/>
            </w:pPr>
          </w:p>
        </w:tc>
        <w:tc>
          <w:tcPr>
            <w:tcW w:w="1843" w:type="dxa"/>
            <w:vMerge w:val="continue"/>
            <w:vAlign w:val="center"/>
          </w:tcPr>
          <w:p w14:paraId="3EFFF3E2">
            <w:pPr>
              <w:pStyle w:val="181"/>
            </w:pPr>
          </w:p>
        </w:tc>
        <w:tc>
          <w:tcPr>
            <w:tcW w:w="6650" w:type="dxa"/>
            <w:vAlign w:val="center"/>
          </w:tcPr>
          <w:p w14:paraId="7F5CAC8F">
            <w:pPr>
              <w:pStyle w:val="135"/>
              <w:numPr>
                <w:ilvl w:val="0"/>
                <w:numId w:val="0"/>
              </w:numPr>
              <w:ind w:left="470" w:leftChars="21" w:right="105" w:rightChars="50" w:hanging="426"/>
              <w:rPr>
                <w:rFonts w:hAnsi="宋体"/>
                <w:sz w:val="18"/>
                <w:szCs w:val="18"/>
              </w:rPr>
            </w:pPr>
            <w:r>
              <w:rPr>
                <w:rFonts w:hint="eastAsia" w:hAnsi="宋体"/>
                <w:sz w:val="18"/>
                <w:szCs w:val="18"/>
              </w:rPr>
              <w:t>d)应至少支持8路</w:t>
            </w:r>
            <w:r>
              <w:rPr>
                <w:rFonts w:hAnsi="宋体"/>
                <w:sz w:val="18"/>
                <w:szCs w:val="18"/>
              </w:rPr>
              <w:t>AES/EBU</w:t>
            </w:r>
            <w:r>
              <w:rPr>
                <w:rFonts w:hint="eastAsia" w:hAnsi="宋体"/>
                <w:sz w:val="18"/>
                <w:szCs w:val="18"/>
              </w:rPr>
              <w:t>数字音频接口的输入</w:t>
            </w:r>
          </w:p>
        </w:tc>
      </w:tr>
      <w:tr w14:paraId="5FC82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657A3294">
            <w:pPr>
              <w:pStyle w:val="181"/>
            </w:pPr>
          </w:p>
        </w:tc>
        <w:tc>
          <w:tcPr>
            <w:tcW w:w="1843" w:type="dxa"/>
            <w:vMerge w:val="continue"/>
            <w:vAlign w:val="center"/>
          </w:tcPr>
          <w:p w14:paraId="55B6A8E9">
            <w:pPr>
              <w:pStyle w:val="181"/>
            </w:pPr>
          </w:p>
        </w:tc>
        <w:tc>
          <w:tcPr>
            <w:tcW w:w="6650" w:type="dxa"/>
            <w:vAlign w:val="center"/>
          </w:tcPr>
          <w:p w14:paraId="29013967">
            <w:pPr>
              <w:pStyle w:val="135"/>
              <w:numPr>
                <w:ilvl w:val="0"/>
                <w:numId w:val="0"/>
              </w:numPr>
              <w:ind w:left="470" w:leftChars="21" w:right="105" w:rightChars="50" w:hanging="426"/>
              <w:rPr>
                <w:rFonts w:hAnsi="宋体"/>
                <w:sz w:val="18"/>
                <w:szCs w:val="18"/>
              </w:rPr>
            </w:pPr>
            <w:r>
              <w:rPr>
                <w:rFonts w:hint="eastAsia" w:hAnsi="宋体"/>
                <w:sz w:val="18"/>
                <w:szCs w:val="18"/>
              </w:rPr>
              <w:t>e)应至少具备2路非同步音频信号输入</w:t>
            </w:r>
          </w:p>
        </w:tc>
      </w:tr>
      <w:tr w14:paraId="4DE06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22702133">
            <w:pPr>
              <w:pStyle w:val="181"/>
            </w:pPr>
            <w:r>
              <w:rPr>
                <w:rFonts w:hint="eastAsia"/>
              </w:rPr>
              <w:t>3</w:t>
            </w:r>
          </w:p>
        </w:tc>
        <w:tc>
          <w:tcPr>
            <w:tcW w:w="1843" w:type="dxa"/>
            <w:vMerge w:val="restart"/>
            <w:vAlign w:val="center"/>
          </w:tcPr>
          <w:p w14:paraId="5D8B7D44">
            <w:pPr>
              <w:pStyle w:val="181"/>
            </w:pPr>
            <w:r>
              <w:rPr>
                <w:rFonts w:hint="eastAsia"/>
              </w:rPr>
              <w:t>输出</w:t>
            </w:r>
          </w:p>
        </w:tc>
        <w:tc>
          <w:tcPr>
            <w:tcW w:w="6650" w:type="dxa"/>
            <w:vAlign w:val="center"/>
          </w:tcPr>
          <w:p w14:paraId="18C2B155">
            <w:pPr>
              <w:pStyle w:val="135"/>
              <w:numPr>
                <w:ilvl w:val="0"/>
                <w:numId w:val="0"/>
              </w:numPr>
              <w:ind w:left="470" w:leftChars="21" w:right="105" w:rightChars="50" w:hanging="426"/>
              <w:rPr>
                <w:rFonts w:hAnsi="宋体"/>
                <w:sz w:val="18"/>
                <w:szCs w:val="18"/>
              </w:rPr>
            </w:pPr>
            <w:r>
              <w:rPr>
                <w:rFonts w:hint="eastAsia" w:hAnsi="宋体"/>
                <w:sz w:val="18"/>
                <w:szCs w:val="18"/>
              </w:rPr>
              <w:t>a)应至少支持32路通道音频信号的输出</w:t>
            </w:r>
          </w:p>
        </w:tc>
      </w:tr>
      <w:tr w14:paraId="57309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7F0C0738">
            <w:pPr>
              <w:pStyle w:val="181"/>
            </w:pPr>
          </w:p>
        </w:tc>
        <w:tc>
          <w:tcPr>
            <w:tcW w:w="1843" w:type="dxa"/>
            <w:vMerge w:val="continue"/>
            <w:vAlign w:val="center"/>
          </w:tcPr>
          <w:p w14:paraId="21B4B226">
            <w:pPr>
              <w:pStyle w:val="181"/>
            </w:pPr>
          </w:p>
        </w:tc>
        <w:tc>
          <w:tcPr>
            <w:tcW w:w="6650" w:type="dxa"/>
            <w:vAlign w:val="center"/>
          </w:tcPr>
          <w:p w14:paraId="7FC8D192">
            <w:pPr>
              <w:pStyle w:val="135"/>
              <w:numPr>
                <w:ilvl w:val="0"/>
                <w:numId w:val="0"/>
              </w:numPr>
              <w:ind w:left="470" w:leftChars="21" w:right="105" w:rightChars="50" w:hanging="426"/>
              <w:rPr>
                <w:rFonts w:hAnsi="宋体"/>
                <w:sz w:val="18"/>
                <w:szCs w:val="18"/>
              </w:rPr>
            </w:pPr>
            <w:r>
              <w:rPr>
                <w:rFonts w:hint="eastAsia" w:hAnsi="宋体"/>
                <w:sz w:val="18"/>
                <w:szCs w:val="18"/>
              </w:rPr>
              <w:t>b)应支持</w:t>
            </w:r>
            <w:r>
              <w:rPr>
                <w:rFonts w:hAnsi="宋体"/>
                <w:sz w:val="18"/>
                <w:szCs w:val="18"/>
              </w:rPr>
              <w:t>AES/EBU</w:t>
            </w:r>
            <w:r>
              <w:rPr>
                <w:rFonts w:hint="eastAsia" w:hAnsi="宋体"/>
                <w:sz w:val="18"/>
                <w:szCs w:val="18"/>
              </w:rPr>
              <w:t>数字音频输入接口对应输出通道接口的通道路由设置</w:t>
            </w:r>
          </w:p>
        </w:tc>
      </w:tr>
      <w:tr w14:paraId="7619B9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1DB48C5B">
            <w:pPr>
              <w:pStyle w:val="181"/>
            </w:pPr>
          </w:p>
        </w:tc>
        <w:tc>
          <w:tcPr>
            <w:tcW w:w="1843" w:type="dxa"/>
            <w:vMerge w:val="continue"/>
            <w:vAlign w:val="center"/>
          </w:tcPr>
          <w:p w14:paraId="0DE2F830">
            <w:pPr>
              <w:pStyle w:val="181"/>
            </w:pPr>
          </w:p>
        </w:tc>
        <w:tc>
          <w:tcPr>
            <w:tcW w:w="6650" w:type="dxa"/>
            <w:vAlign w:val="center"/>
          </w:tcPr>
          <w:p w14:paraId="5E3F660B">
            <w:pPr>
              <w:pStyle w:val="135"/>
              <w:numPr>
                <w:ilvl w:val="0"/>
                <w:numId w:val="0"/>
              </w:numPr>
              <w:ind w:left="470" w:leftChars="21" w:right="105" w:rightChars="50" w:hanging="426"/>
              <w:rPr>
                <w:rFonts w:hAnsi="宋体"/>
                <w:sz w:val="18"/>
                <w:szCs w:val="18"/>
              </w:rPr>
            </w:pPr>
            <w:r>
              <w:rPr>
                <w:rFonts w:hint="eastAsia" w:hAnsi="宋体"/>
                <w:sz w:val="18"/>
                <w:szCs w:val="18"/>
              </w:rPr>
              <w:t xml:space="preserve">c)应至少具备2路非同步音频信号输出 </w:t>
            </w:r>
          </w:p>
        </w:tc>
      </w:tr>
      <w:tr w14:paraId="7FD1D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5BB9FA5A">
            <w:pPr>
              <w:pStyle w:val="181"/>
            </w:pPr>
            <w:r>
              <w:rPr>
                <w:rFonts w:hint="eastAsia"/>
              </w:rPr>
              <w:t>4</w:t>
            </w:r>
          </w:p>
        </w:tc>
        <w:tc>
          <w:tcPr>
            <w:tcW w:w="1843" w:type="dxa"/>
            <w:vMerge w:val="restart"/>
            <w:vAlign w:val="center"/>
          </w:tcPr>
          <w:p w14:paraId="2448E3F6">
            <w:pPr>
              <w:pStyle w:val="181"/>
            </w:pPr>
            <w:r>
              <w:rPr>
                <w:rFonts w:hint="eastAsia"/>
              </w:rPr>
              <w:t>解码</w:t>
            </w:r>
          </w:p>
        </w:tc>
        <w:tc>
          <w:tcPr>
            <w:tcW w:w="6650" w:type="dxa"/>
            <w:vAlign w:val="center"/>
          </w:tcPr>
          <w:p w14:paraId="61A7E16C">
            <w:pPr>
              <w:pStyle w:val="135"/>
              <w:numPr>
                <w:ilvl w:val="0"/>
                <w:numId w:val="0"/>
              </w:numPr>
              <w:ind w:left="470" w:leftChars="21" w:right="105" w:rightChars="50" w:hanging="426"/>
              <w:rPr>
                <w:rFonts w:hAnsi="宋体"/>
                <w:sz w:val="18"/>
                <w:szCs w:val="18"/>
              </w:rPr>
            </w:pPr>
            <w:r>
              <w:rPr>
                <w:rFonts w:hint="eastAsia" w:hAnsi="宋体"/>
                <w:sz w:val="18"/>
                <w:szCs w:val="18"/>
              </w:rPr>
              <w:t>a)应支持沉浸式音频比特流的解码</w:t>
            </w:r>
          </w:p>
        </w:tc>
      </w:tr>
      <w:tr w14:paraId="031FF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2223087A">
            <w:pPr>
              <w:pStyle w:val="181"/>
            </w:pPr>
          </w:p>
        </w:tc>
        <w:tc>
          <w:tcPr>
            <w:tcW w:w="1843" w:type="dxa"/>
            <w:vMerge w:val="continue"/>
            <w:vAlign w:val="center"/>
          </w:tcPr>
          <w:p w14:paraId="021E394B">
            <w:pPr>
              <w:pStyle w:val="181"/>
            </w:pPr>
          </w:p>
        </w:tc>
        <w:tc>
          <w:tcPr>
            <w:tcW w:w="6650" w:type="dxa"/>
            <w:vAlign w:val="center"/>
          </w:tcPr>
          <w:p w14:paraId="111870DA">
            <w:pPr>
              <w:pStyle w:val="135"/>
              <w:numPr>
                <w:ilvl w:val="0"/>
                <w:numId w:val="0"/>
              </w:numPr>
              <w:ind w:left="470" w:leftChars="21" w:right="105" w:rightChars="50" w:hanging="426"/>
              <w:rPr>
                <w:rFonts w:hAnsi="宋体"/>
                <w:sz w:val="18"/>
                <w:szCs w:val="18"/>
              </w:rPr>
            </w:pPr>
            <w:r>
              <w:rPr>
                <w:rFonts w:hint="eastAsia" w:hAnsi="宋体"/>
                <w:sz w:val="18"/>
                <w:szCs w:val="18"/>
              </w:rPr>
              <w:t>b)应支持沉浸式音频同步信号的解析</w:t>
            </w:r>
          </w:p>
        </w:tc>
      </w:tr>
      <w:tr w14:paraId="17CD0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144CE657">
            <w:pPr>
              <w:pStyle w:val="181"/>
            </w:pPr>
          </w:p>
        </w:tc>
        <w:tc>
          <w:tcPr>
            <w:tcW w:w="1843" w:type="dxa"/>
            <w:vMerge w:val="continue"/>
            <w:vAlign w:val="center"/>
          </w:tcPr>
          <w:p w14:paraId="1E6BAF8A">
            <w:pPr>
              <w:pStyle w:val="181"/>
            </w:pPr>
          </w:p>
        </w:tc>
        <w:tc>
          <w:tcPr>
            <w:tcW w:w="6650" w:type="dxa"/>
            <w:vAlign w:val="center"/>
          </w:tcPr>
          <w:p w14:paraId="57BC0CBB">
            <w:pPr>
              <w:pStyle w:val="135"/>
              <w:numPr>
                <w:ilvl w:val="0"/>
                <w:numId w:val="0"/>
              </w:numPr>
              <w:ind w:left="470" w:leftChars="21" w:right="105" w:rightChars="50" w:hanging="426"/>
              <w:rPr>
                <w:rFonts w:hAnsi="宋体"/>
                <w:sz w:val="18"/>
                <w:szCs w:val="18"/>
              </w:rPr>
            </w:pPr>
            <w:r>
              <w:rPr>
                <w:rFonts w:hint="eastAsia" w:hAnsi="宋体"/>
                <w:sz w:val="18"/>
                <w:szCs w:val="18"/>
              </w:rPr>
              <w:t>c)处理本地数字电影沉浸式音频MXF文件时，应具备解封装、KDM解密的功能</w:t>
            </w:r>
          </w:p>
        </w:tc>
      </w:tr>
      <w:tr w14:paraId="57BCD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631C26DC">
            <w:pPr>
              <w:pStyle w:val="181"/>
            </w:pPr>
            <w:r>
              <w:rPr>
                <w:rFonts w:hint="eastAsia"/>
              </w:rPr>
              <w:t>5</w:t>
            </w:r>
          </w:p>
        </w:tc>
        <w:tc>
          <w:tcPr>
            <w:tcW w:w="1843" w:type="dxa"/>
            <w:vMerge w:val="restart"/>
            <w:vAlign w:val="center"/>
          </w:tcPr>
          <w:p w14:paraId="65165A88">
            <w:pPr>
              <w:pStyle w:val="181"/>
            </w:pPr>
            <w:r>
              <w:rPr>
                <w:rFonts w:hint="eastAsia"/>
              </w:rPr>
              <w:t>渲染</w:t>
            </w:r>
          </w:p>
        </w:tc>
        <w:tc>
          <w:tcPr>
            <w:tcW w:w="6650" w:type="dxa"/>
            <w:vAlign w:val="center"/>
          </w:tcPr>
          <w:p w14:paraId="7E8030BE">
            <w:pPr>
              <w:pStyle w:val="135"/>
              <w:numPr>
                <w:ilvl w:val="0"/>
                <w:numId w:val="0"/>
              </w:numPr>
              <w:ind w:left="470" w:leftChars="21" w:right="105" w:rightChars="50" w:hanging="426"/>
              <w:jc w:val="both"/>
              <w:rPr>
                <w:rFonts w:hAnsi="宋体"/>
                <w:sz w:val="18"/>
                <w:szCs w:val="18"/>
              </w:rPr>
            </w:pPr>
            <w:r>
              <w:rPr>
                <w:rFonts w:hint="eastAsia" w:hAnsi="宋体"/>
                <w:sz w:val="18"/>
                <w:szCs w:val="18"/>
              </w:rPr>
              <w:t>a)应至少支持7</w:t>
            </w:r>
            <w:r>
              <w:rPr>
                <w:rFonts w:hAnsi="宋体"/>
                <w:sz w:val="18"/>
                <w:szCs w:val="18"/>
              </w:rPr>
              <w:t>.1</w:t>
            </w:r>
            <w:r>
              <w:rPr>
                <w:rFonts w:hint="eastAsia" w:hAnsi="宋体"/>
                <w:sz w:val="18"/>
                <w:szCs w:val="18"/>
              </w:rPr>
              <w:t>和9.</w:t>
            </w:r>
            <w:r>
              <w:rPr>
                <w:rFonts w:hAnsi="宋体"/>
                <w:sz w:val="18"/>
                <w:szCs w:val="18"/>
              </w:rPr>
              <w:t>1</w:t>
            </w:r>
            <w:r>
              <w:rPr>
                <w:rFonts w:hint="eastAsia" w:hAnsi="宋体"/>
                <w:sz w:val="18"/>
                <w:szCs w:val="18"/>
              </w:rPr>
              <w:t>基础声床轨道的渲染，</w:t>
            </w:r>
            <w:bookmarkStart w:id="103" w:name="OLE_LINK2"/>
            <w:r>
              <w:rPr>
                <w:rFonts w:hint="eastAsia" w:hAnsi="宋体"/>
                <w:sz w:val="18"/>
                <w:szCs w:val="18"/>
              </w:rPr>
              <w:t>7.</w:t>
            </w:r>
            <w:r>
              <w:rPr>
                <w:rFonts w:hAnsi="宋体"/>
                <w:sz w:val="18"/>
                <w:szCs w:val="18"/>
              </w:rPr>
              <w:t>1</w:t>
            </w:r>
            <w:r>
              <w:rPr>
                <w:rFonts w:hint="eastAsia" w:hAnsi="宋体"/>
                <w:sz w:val="18"/>
                <w:szCs w:val="18"/>
              </w:rPr>
              <w:t>基础声床轨道顺序为</w:t>
            </w:r>
            <w:r>
              <w:rPr>
                <w:rFonts w:hAnsi="宋体"/>
                <w:sz w:val="18"/>
                <w:szCs w:val="18"/>
              </w:rPr>
              <w:t>L</w:t>
            </w:r>
            <w:r>
              <w:rPr>
                <w:rFonts w:hint="eastAsia" w:hAnsi="宋体"/>
                <w:sz w:val="18"/>
                <w:szCs w:val="18"/>
              </w:rPr>
              <w:t>、</w:t>
            </w:r>
            <w:r>
              <w:rPr>
                <w:rFonts w:hAnsi="宋体"/>
                <w:sz w:val="18"/>
                <w:szCs w:val="18"/>
              </w:rPr>
              <w:t>R</w:t>
            </w:r>
            <w:r>
              <w:rPr>
                <w:rFonts w:hint="eastAsia" w:hAnsi="宋体"/>
                <w:sz w:val="18"/>
                <w:szCs w:val="18"/>
              </w:rPr>
              <w:t>、</w:t>
            </w:r>
            <w:r>
              <w:rPr>
                <w:rFonts w:hAnsi="宋体"/>
                <w:sz w:val="18"/>
                <w:szCs w:val="18"/>
              </w:rPr>
              <w:t>C</w:t>
            </w:r>
            <w:r>
              <w:rPr>
                <w:rFonts w:hint="eastAsia" w:hAnsi="宋体"/>
                <w:sz w:val="18"/>
                <w:szCs w:val="18"/>
              </w:rPr>
              <w:t>、</w:t>
            </w:r>
          </w:p>
          <w:p w14:paraId="265B6C9A">
            <w:pPr>
              <w:pStyle w:val="135"/>
              <w:numPr>
                <w:ilvl w:val="0"/>
                <w:numId w:val="0"/>
              </w:numPr>
              <w:ind w:left="470" w:leftChars="21" w:right="105" w:rightChars="50" w:hanging="426"/>
              <w:jc w:val="both"/>
              <w:rPr>
                <w:rFonts w:hAnsi="宋体"/>
                <w:sz w:val="18"/>
                <w:szCs w:val="18"/>
              </w:rPr>
            </w:pPr>
            <w:r>
              <w:rPr>
                <w:rFonts w:hAnsi="宋体"/>
                <w:sz w:val="18"/>
                <w:szCs w:val="18"/>
              </w:rPr>
              <w:t>LFE</w:t>
            </w:r>
            <w:r>
              <w:rPr>
                <w:rFonts w:hint="eastAsia" w:hAnsi="宋体"/>
                <w:sz w:val="18"/>
                <w:szCs w:val="18"/>
              </w:rPr>
              <w:t>、</w:t>
            </w:r>
            <w:r>
              <w:rPr>
                <w:rFonts w:hAnsi="宋体"/>
                <w:sz w:val="18"/>
                <w:szCs w:val="18"/>
              </w:rPr>
              <w:t>Lss</w:t>
            </w:r>
            <w:r>
              <w:rPr>
                <w:rFonts w:hint="eastAsia" w:hAnsi="宋体"/>
                <w:sz w:val="18"/>
                <w:szCs w:val="18"/>
              </w:rPr>
              <w:t>、</w:t>
            </w:r>
            <w:r>
              <w:rPr>
                <w:rFonts w:hAnsi="宋体"/>
                <w:sz w:val="18"/>
                <w:szCs w:val="18"/>
              </w:rPr>
              <w:t>Rss</w:t>
            </w:r>
            <w:r>
              <w:rPr>
                <w:rFonts w:hint="eastAsia" w:hAnsi="宋体"/>
                <w:sz w:val="18"/>
                <w:szCs w:val="18"/>
              </w:rPr>
              <w:t>、</w:t>
            </w:r>
            <w:r>
              <w:rPr>
                <w:rFonts w:hAnsi="宋体"/>
                <w:sz w:val="18"/>
                <w:szCs w:val="18"/>
              </w:rPr>
              <w:t>Lrs</w:t>
            </w:r>
            <w:r>
              <w:rPr>
                <w:rFonts w:hint="eastAsia" w:hAnsi="宋体"/>
                <w:sz w:val="18"/>
                <w:szCs w:val="18"/>
              </w:rPr>
              <w:t>、</w:t>
            </w:r>
            <w:r>
              <w:rPr>
                <w:rFonts w:hAnsi="宋体"/>
                <w:sz w:val="18"/>
                <w:szCs w:val="18"/>
              </w:rPr>
              <w:t>Rrs</w:t>
            </w:r>
            <w:r>
              <w:rPr>
                <w:rFonts w:hint="eastAsia" w:hAnsi="宋体"/>
                <w:sz w:val="18"/>
                <w:szCs w:val="18"/>
              </w:rPr>
              <w:t>，9</w:t>
            </w:r>
            <w:r>
              <w:rPr>
                <w:rFonts w:hAnsi="宋体"/>
                <w:sz w:val="18"/>
                <w:szCs w:val="18"/>
              </w:rPr>
              <w:t>.1</w:t>
            </w:r>
            <w:r>
              <w:rPr>
                <w:rFonts w:hint="eastAsia" w:hAnsi="宋体"/>
                <w:sz w:val="18"/>
                <w:szCs w:val="18"/>
              </w:rPr>
              <w:t>基础声床轨道顺序为</w:t>
            </w:r>
            <w:r>
              <w:rPr>
                <w:rFonts w:hAnsi="宋体"/>
                <w:sz w:val="18"/>
                <w:szCs w:val="18"/>
              </w:rPr>
              <w:t>L</w:t>
            </w:r>
            <w:r>
              <w:rPr>
                <w:rFonts w:hint="eastAsia" w:hAnsi="宋体"/>
                <w:sz w:val="18"/>
                <w:szCs w:val="18"/>
              </w:rPr>
              <w:t>、</w:t>
            </w:r>
            <w:r>
              <w:rPr>
                <w:rFonts w:hAnsi="宋体"/>
                <w:sz w:val="18"/>
                <w:szCs w:val="18"/>
              </w:rPr>
              <w:t>R</w:t>
            </w:r>
            <w:r>
              <w:rPr>
                <w:rFonts w:hint="eastAsia" w:hAnsi="宋体"/>
                <w:sz w:val="18"/>
                <w:szCs w:val="18"/>
              </w:rPr>
              <w:t>、</w:t>
            </w:r>
            <w:r>
              <w:rPr>
                <w:rFonts w:hAnsi="宋体"/>
                <w:sz w:val="18"/>
                <w:szCs w:val="18"/>
              </w:rPr>
              <w:t>C</w:t>
            </w:r>
            <w:r>
              <w:rPr>
                <w:rFonts w:hint="eastAsia" w:hAnsi="宋体"/>
                <w:sz w:val="18"/>
                <w:szCs w:val="18"/>
              </w:rPr>
              <w:t>、</w:t>
            </w:r>
            <w:r>
              <w:rPr>
                <w:rFonts w:hAnsi="宋体"/>
                <w:sz w:val="18"/>
                <w:szCs w:val="18"/>
              </w:rPr>
              <w:t>LFE</w:t>
            </w:r>
            <w:r>
              <w:rPr>
                <w:rFonts w:hint="eastAsia" w:hAnsi="宋体"/>
                <w:sz w:val="18"/>
                <w:szCs w:val="18"/>
              </w:rPr>
              <w:t>、</w:t>
            </w:r>
            <w:r>
              <w:rPr>
                <w:rFonts w:hAnsi="宋体"/>
                <w:sz w:val="18"/>
                <w:szCs w:val="18"/>
              </w:rPr>
              <w:t>Lss</w:t>
            </w:r>
            <w:r>
              <w:rPr>
                <w:rFonts w:hint="eastAsia" w:hAnsi="宋体"/>
                <w:sz w:val="18"/>
                <w:szCs w:val="18"/>
              </w:rPr>
              <w:t>、</w:t>
            </w:r>
            <w:r>
              <w:rPr>
                <w:rFonts w:hAnsi="宋体"/>
                <w:sz w:val="18"/>
                <w:szCs w:val="18"/>
              </w:rPr>
              <w:t>Rss</w:t>
            </w:r>
            <w:r>
              <w:rPr>
                <w:rFonts w:hint="eastAsia" w:hAnsi="宋体"/>
                <w:sz w:val="18"/>
                <w:szCs w:val="18"/>
              </w:rPr>
              <w:t>、</w:t>
            </w:r>
          </w:p>
          <w:p w14:paraId="4AEE89A0">
            <w:pPr>
              <w:pStyle w:val="135"/>
              <w:numPr>
                <w:ilvl w:val="0"/>
                <w:numId w:val="0"/>
              </w:numPr>
              <w:ind w:left="470" w:leftChars="21" w:right="105" w:rightChars="50" w:hanging="426"/>
              <w:jc w:val="both"/>
              <w:rPr>
                <w:rFonts w:hAnsi="宋体"/>
                <w:sz w:val="18"/>
                <w:szCs w:val="18"/>
              </w:rPr>
            </w:pPr>
            <w:r>
              <w:rPr>
                <w:rFonts w:hAnsi="宋体"/>
                <w:sz w:val="18"/>
                <w:szCs w:val="18"/>
              </w:rPr>
              <w:t>Lrs</w:t>
            </w:r>
            <w:r>
              <w:rPr>
                <w:rFonts w:hint="eastAsia" w:hAnsi="宋体"/>
                <w:sz w:val="18"/>
                <w:szCs w:val="18"/>
              </w:rPr>
              <w:t>、</w:t>
            </w:r>
            <w:r>
              <w:rPr>
                <w:rFonts w:hAnsi="宋体"/>
                <w:sz w:val="18"/>
                <w:szCs w:val="18"/>
              </w:rPr>
              <w:t>Rrs</w:t>
            </w:r>
            <w:r>
              <w:rPr>
                <w:rFonts w:hint="eastAsia" w:hAnsi="宋体"/>
                <w:sz w:val="18"/>
                <w:szCs w:val="18"/>
              </w:rPr>
              <w:t>、Lts、R</w:t>
            </w:r>
            <w:r>
              <w:rPr>
                <w:rFonts w:hAnsi="宋体"/>
                <w:sz w:val="18"/>
                <w:szCs w:val="18"/>
              </w:rPr>
              <w:t>t</w:t>
            </w:r>
            <w:r>
              <w:rPr>
                <w:rFonts w:hint="eastAsia" w:hAnsi="宋体"/>
                <w:sz w:val="18"/>
                <w:szCs w:val="18"/>
              </w:rPr>
              <w:t>s</w:t>
            </w:r>
            <w:bookmarkEnd w:id="103"/>
          </w:p>
        </w:tc>
      </w:tr>
      <w:tr w14:paraId="014CFE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6FCF41FC">
            <w:pPr>
              <w:pStyle w:val="181"/>
            </w:pPr>
          </w:p>
        </w:tc>
        <w:tc>
          <w:tcPr>
            <w:tcW w:w="1843" w:type="dxa"/>
            <w:vMerge w:val="continue"/>
            <w:vAlign w:val="center"/>
          </w:tcPr>
          <w:p w14:paraId="67C2E9CA">
            <w:pPr>
              <w:pStyle w:val="181"/>
            </w:pPr>
          </w:p>
        </w:tc>
        <w:tc>
          <w:tcPr>
            <w:tcW w:w="6650" w:type="dxa"/>
            <w:vAlign w:val="center"/>
          </w:tcPr>
          <w:p w14:paraId="68EDF233">
            <w:pPr>
              <w:pStyle w:val="135"/>
              <w:numPr>
                <w:ilvl w:val="0"/>
                <w:numId w:val="0"/>
              </w:numPr>
              <w:ind w:left="470" w:leftChars="21" w:right="105" w:rightChars="50" w:hanging="426"/>
              <w:jc w:val="both"/>
              <w:rPr>
                <w:rFonts w:hAnsi="宋体"/>
                <w:sz w:val="18"/>
                <w:szCs w:val="18"/>
              </w:rPr>
            </w:pPr>
            <w:r>
              <w:rPr>
                <w:rFonts w:hint="eastAsia" w:hAnsi="宋体"/>
                <w:sz w:val="18"/>
                <w:szCs w:val="18"/>
              </w:rPr>
              <w:t>b)影院音频对象位置元数据与影厅空间信息的映射关系应符合附录A，与三维声元</w:t>
            </w:r>
          </w:p>
          <w:p w14:paraId="458960E7">
            <w:pPr>
              <w:pStyle w:val="135"/>
              <w:numPr>
                <w:ilvl w:val="0"/>
                <w:numId w:val="0"/>
              </w:numPr>
              <w:ind w:left="470" w:leftChars="21" w:right="105" w:rightChars="50" w:hanging="426"/>
              <w:jc w:val="both"/>
              <w:rPr>
                <w:rFonts w:hAnsi="宋体"/>
                <w:sz w:val="18"/>
                <w:szCs w:val="18"/>
              </w:rPr>
            </w:pPr>
            <w:r>
              <w:rPr>
                <w:rFonts w:hint="eastAsia" w:hAnsi="宋体"/>
                <w:sz w:val="18"/>
                <w:szCs w:val="18"/>
              </w:rPr>
              <w:t>数据映射关系应符合附录B</w:t>
            </w:r>
          </w:p>
        </w:tc>
      </w:tr>
      <w:tr w14:paraId="3B7F1B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20AC0E98">
            <w:pPr>
              <w:pStyle w:val="181"/>
            </w:pPr>
          </w:p>
        </w:tc>
        <w:tc>
          <w:tcPr>
            <w:tcW w:w="1843" w:type="dxa"/>
            <w:vMerge w:val="continue"/>
            <w:vAlign w:val="center"/>
          </w:tcPr>
          <w:p w14:paraId="44C2B508">
            <w:pPr>
              <w:pStyle w:val="181"/>
            </w:pPr>
          </w:p>
        </w:tc>
        <w:tc>
          <w:tcPr>
            <w:tcW w:w="6650" w:type="dxa"/>
            <w:vAlign w:val="center"/>
          </w:tcPr>
          <w:p w14:paraId="6FD57E09">
            <w:pPr>
              <w:pStyle w:val="135"/>
              <w:numPr>
                <w:ilvl w:val="0"/>
                <w:numId w:val="0"/>
              </w:numPr>
              <w:ind w:left="470" w:leftChars="21" w:right="105" w:rightChars="50" w:hanging="426"/>
              <w:jc w:val="both"/>
              <w:rPr>
                <w:rFonts w:hAnsi="宋体"/>
                <w:sz w:val="18"/>
                <w:szCs w:val="18"/>
              </w:rPr>
            </w:pPr>
            <w:r>
              <w:rPr>
                <w:rFonts w:hint="eastAsia" w:hAnsi="宋体"/>
                <w:sz w:val="18"/>
                <w:szCs w:val="18"/>
              </w:rPr>
              <w:t>c)应至少支持基于对象元数据位置、增益、距离、运动的渲染</w:t>
            </w:r>
          </w:p>
        </w:tc>
      </w:tr>
      <w:tr w14:paraId="21275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35113190">
            <w:pPr>
              <w:pStyle w:val="181"/>
            </w:pPr>
          </w:p>
        </w:tc>
        <w:tc>
          <w:tcPr>
            <w:tcW w:w="1843" w:type="dxa"/>
            <w:vMerge w:val="continue"/>
            <w:vAlign w:val="center"/>
          </w:tcPr>
          <w:p w14:paraId="3B89CF30">
            <w:pPr>
              <w:pStyle w:val="181"/>
            </w:pPr>
          </w:p>
        </w:tc>
        <w:tc>
          <w:tcPr>
            <w:tcW w:w="6650" w:type="dxa"/>
            <w:vAlign w:val="center"/>
          </w:tcPr>
          <w:p w14:paraId="711DF8AF">
            <w:pPr>
              <w:pStyle w:val="135"/>
              <w:numPr>
                <w:ilvl w:val="0"/>
                <w:numId w:val="0"/>
              </w:numPr>
              <w:ind w:left="470" w:leftChars="21" w:right="105" w:rightChars="50" w:hanging="426"/>
              <w:jc w:val="both"/>
              <w:rPr>
                <w:rFonts w:hAnsi="宋体"/>
                <w:sz w:val="18"/>
                <w:szCs w:val="18"/>
              </w:rPr>
            </w:pPr>
            <w:r>
              <w:rPr>
                <w:rFonts w:hint="eastAsia" w:hAnsi="宋体"/>
                <w:sz w:val="18"/>
                <w:szCs w:val="18"/>
              </w:rPr>
              <w:t>d)应至少支持118路对象轨道的渲染</w:t>
            </w:r>
          </w:p>
        </w:tc>
      </w:tr>
      <w:tr w14:paraId="4137F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7B90F4C9">
            <w:pPr>
              <w:pStyle w:val="181"/>
            </w:pPr>
          </w:p>
        </w:tc>
        <w:tc>
          <w:tcPr>
            <w:tcW w:w="1843" w:type="dxa"/>
            <w:vMerge w:val="continue"/>
            <w:vAlign w:val="center"/>
          </w:tcPr>
          <w:p w14:paraId="54260927">
            <w:pPr>
              <w:pStyle w:val="181"/>
            </w:pPr>
          </w:p>
        </w:tc>
        <w:tc>
          <w:tcPr>
            <w:tcW w:w="6650" w:type="dxa"/>
            <w:vAlign w:val="center"/>
          </w:tcPr>
          <w:p w14:paraId="0FCAC488">
            <w:pPr>
              <w:pStyle w:val="135"/>
              <w:numPr>
                <w:ilvl w:val="0"/>
                <w:numId w:val="0"/>
              </w:numPr>
              <w:ind w:left="470" w:leftChars="21" w:right="105" w:rightChars="50" w:hanging="426"/>
              <w:rPr>
                <w:rFonts w:hAnsi="宋体"/>
                <w:sz w:val="18"/>
                <w:szCs w:val="18"/>
              </w:rPr>
            </w:pPr>
            <w:r>
              <w:rPr>
                <w:rFonts w:hint="eastAsia" w:hAnsi="宋体"/>
                <w:sz w:val="18"/>
                <w:szCs w:val="18"/>
              </w:rPr>
              <w:t>e)应至少支持32路音频通路的渲染输出</w:t>
            </w:r>
          </w:p>
        </w:tc>
      </w:tr>
      <w:tr w14:paraId="70F53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vAlign w:val="center"/>
          </w:tcPr>
          <w:p w14:paraId="2717189C">
            <w:pPr>
              <w:pStyle w:val="181"/>
            </w:pPr>
            <w:r>
              <w:rPr>
                <w:rFonts w:hint="eastAsia"/>
              </w:rPr>
              <w:t>6</w:t>
            </w:r>
          </w:p>
        </w:tc>
        <w:tc>
          <w:tcPr>
            <w:tcW w:w="1843" w:type="dxa"/>
            <w:vMerge w:val="restart"/>
            <w:vAlign w:val="center"/>
          </w:tcPr>
          <w:p w14:paraId="57EA33F1">
            <w:pPr>
              <w:pStyle w:val="181"/>
            </w:pPr>
            <w:r>
              <w:rPr>
                <w:rFonts w:hint="eastAsia"/>
              </w:rPr>
              <w:t>调节</w:t>
            </w:r>
          </w:p>
        </w:tc>
        <w:tc>
          <w:tcPr>
            <w:tcW w:w="6650" w:type="dxa"/>
            <w:vAlign w:val="center"/>
          </w:tcPr>
          <w:p w14:paraId="6F91BE97">
            <w:pPr>
              <w:pStyle w:val="135"/>
              <w:numPr>
                <w:ilvl w:val="0"/>
                <w:numId w:val="0"/>
              </w:numPr>
              <w:ind w:left="470" w:leftChars="21" w:right="105" w:rightChars="50" w:hanging="426"/>
              <w:rPr>
                <w:rFonts w:hAnsi="宋体"/>
                <w:sz w:val="18"/>
                <w:szCs w:val="18"/>
              </w:rPr>
            </w:pPr>
            <w:r>
              <w:rPr>
                <w:rFonts w:hint="eastAsia" w:hAnsi="宋体"/>
                <w:sz w:val="18"/>
                <w:szCs w:val="18"/>
              </w:rPr>
              <w:t>a)各渲染输出通道应</w:t>
            </w:r>
            <w:r>
              <w:rPr>
                <w:rFonts w:hAnsi="宋体"/>
                <w:sz w:val="18"/>
                <w:szCs w:val="18"/>
              </w:rPr>
              <w:t>具备独立的增益</w:t>
            </w:r>
            <w:r>
              <w:rPr>
                <w:rFonts w:hint="eastAsia" w:hAnsi="宋体"/>
                <w:sz w:val="18"/>
                <w:szCs w:val="18"/>
              </w:rPr>
              <w:t>调节</w:t>
            </w:r>
          </w:p>
        </w:tc>
      </w:tr>
      <w:tr w14:paraId="2006E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321CF70D">
            <w:pPr>
              <w:pStyle w:val="181"/>
            </w:pPr>
          </w:p>
        </w:tc>
        <w:tc>
          <w:tcPr>
            <w:tcW w:w="1843" w:type="dxa"/>
            <w:vMerge w:val="continue"/>
            <w:vAlign w:val="center"/>
          </w:tcPr>
          <w:p w14:paraId="6ED610FB">
            <w:pPr>
              <w:pStyle w:val="181"/>
            </w:pPr>
          </w:p>
        </w:tc>
        <w:tc>
          <w:tcPr>
            <w:tcW w:w="6650" w:type="dxa"/>
            <w:vAlign w:val="center"/>
          </w:tcPr>
          <w:p w14:paraId="353A572C">
            <w:pPr>
              <w:pStyle w:val="135"/>
              <w:numPr>
                <w:ilvl w:val="0"/>
                <w:numId w:val="0"/>
              </w:numPr>
              <w:ind w:left="470" w:leftChars="21" w:right="105" w:rightChars="50" w:hanging="426"/>
              <w:rPr>
                <w:rFonts w:hAnsi="宋体"/>
                <w:sz w:val="18"/>
                <w:szCs w:val="18"/>
              </w:rPr>
            </w:pPr>
            <w:r>
              <w:rPr>
                <w:rFonts w:hint="eastAsia" w:hAnsi="宋体"/>
                <w:sz w:val="18"/>
                <w:szCs w:val="18"/>
              </w:rPr>
              <w:t>b)各渲染输出通道应</w:t>
            </w:r>
            <w:r>
              <w:rPr>
                <w:rFonts w:hAnsi="宋体"/>
                <w:sz w:val="18"/>
                <w:szCs w:val="18"/>
              </w:rPr>
              <w:t>具备</w:t>
            </w:r>
            <w:r>
              <w:rPr>
                <w:rFonts w:hint="eastAsia" w:hAnsi="宋体"/>
                <w:sz w:val="18"/>
                <w:szCs w:val="18"/>
              </w:rPr>
              <w:t>1/3倍频程均衡调节</w:t>
            </w:r>
          </w:p>
        </w:tc>
      </w:tr>
      <w:tr w14:paraId="3D432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vAlign w:val="center"/>
          </w:tcPr>
          <w:p w14:paraId="3000D169">
            <w:pPr>
              <w:pStyle w:val="181"/>
            </w:pPr>
          </w:p>
        </w:tc>
        <w:tc>
          <w:tcPr>
            <w:tcW w:w="1843" w:type="dxa"/>
            <w:vMerge w:val="continue"/>
            <w:vAlign w:val="center"/>
          </w:tcPr>
          <w:p w14:paraId="2D8F4AFB">
            <w:pPr>
              <w:pStyle w:val="181"/>
            </w:pPr>
          </w:p>
        </w:tc>
        <w:tc>
          <w:tcPr>
            <w:tcW w:w="6650" w:type="dxa"/>
            <w:vAlign w:val="center"/>
          </w:tcPr>
          <w:p w14:paraId="55D5EF34">
            <w:pPr>
              <w:pStyle w:val="135"/>
              <w:numPr>
                <w:ilvl w:val="0"/>
                <w:numId w:val="0"/>
              </w:numPr>
              <w:ind w:left="470" w:leftChars="21" w:right="105" w:rightChars="50" w:hanging="426"/>
              <w:rPr>
                <w:rFonts w:hAnsi="宋体"/>
                <w:sz w:val="18"/>
                <w:szCs w:val="18"/>
              </w:rPr>
            </w:pPr>
            <w:r>
              <w:rPr>
                <w:rFonts w:hint="eastAsia" w:hAnsi="宋体"/>
                <w:sz w:val="18"/>
                <w:szCs w:val="18"/>
              </w:rPr>
              <w:t>c)声床通道应具备独立的延时调节</w:t>
            </w:r>
          </w:p>
        </w:tc>
      </w:tr>
    </w:tbl>
    <w:p w14:paraId="6B194AD8">
      <w:pPr>
        <w:pStyle w:val="108"/>
        <w:spacing w:before="156" w:after="156"/>
      </w:pPr>
      <w:bookmarkStart w:id="104" w:name="_Toc203577733"/>
      <w:bookmarkStart w:id="105" w:name="_Toc10350"/>
      <w:r>
        <w:rPr>
          <w:rFonts w:hint="eastAsia"/>
        </w:rPr>
        <w:t>音频通路（数字输入/模拟输出）</w:t>
      </w:r>
      <w:bookmarkEnd w:id="104"/>
      <w:bookmarkEnd w:id="105"/>
    </w:p>
    <w:p w14:paraId="2B7C7B01">
      <w:pPr>
        <w:pStyle w:val="59"/>
        <w:ind w:firstLine="420"/>
      </w:pPr>
      <w:r>
        <w:rPr>
          <w:rFonts w:hint="eastAsia"/>
        </w:rPr>
        <w:t>数字影院沉浸式音频处理器各输出音频通路（数字输入/模拟输出）技术要求应符合表2的规定。</w:t>
      </w:r>
    </w:p>
    <w:p w14:paraId="786F8A79">
      <w:pPr>
        <w:pStyle w:val="115"/>
        <w:spacing w:before="156" w:after="156"/>
        <w:ind w:left="0"/>
      </w:pPr>
      <w:bookmarkStart w:id="106" w:name="OLE_LINK1"/>
      <w:r>
        <w:rPr>
          <w:rFonts w:hint="eastAsia"/>
        </w:rPr>
        <w:t>沉浸式音频处理器音频各输出通路技术要求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693"/>
        <w:gridCol w:w="5658"/>
      </w:tblGrid>
      <w:tr w14:paraId="790BB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983" w:type="dxa"/>
            <w:tcBorders>
              <w:top w:val="single" w:color="auto" w:sz="8" w:space="0"/>
              <w:bottom w:val="single" w:color="auto" w:sz="8" w:space="0"/>
            </w:tcBorders>
            <w:vAlign w:val="center"/>
          </w:tcPr>
          <w:p w14:paraId="18E8B488">
            <w:pPr>
              <w:pStyle w:val="181"/>
            </w:pPr>
            <w:r>
              <w:rPr>
                <w:rFonts w:hint="eastAsia"/>
              </w:rPr>
              <w:t>序号</w:t>
            </w:r>
          </w:p>
        </w:tc>
        <w:tc>
          <w:tcPr>
            <w:tcW w:w="2693" w:type="dxa"/>
            <w:tcBorders>
              <w:top w:val="single" w:color="auto" w:sz="8" w:space="0"/>
              <w:bottom w:val="single" w:color="auto" w:sz="8" w:space="0"/>
            </w:tcBorders>
            <w:vAlign w:val="center"/>
          </w:tcPr>
          <w:p w14:paraId="0DEFC862">
            <w:pPr>
              <w:pStyle w:val="181"/>
            </w:pPr>
            <w:r>
              <w:rPr>
                <w:rFonts w:hint="eastAsia"/>
              </w:rPr>
              <w:t>参数</w:t>
            </w:r>
          </w:p>
        </w:tc>
        <w:tc>
          <w:tcPr>
            <w:tcW w:w="5658" w:type="dxa"/>
            <w:tcBorders>
              <w:top w:val="single" w:color="auto" w:sz="8" w:space="0"/>
              <w:bottom w:val="single" w:color="auto" w:sz="8" w:space="0"/>
            </w:tcBorders>
            <w:vAlign w:val="center"/>
          </w:tcPr>
          <w:p w14:paraId="70AC3688">
            <w:pPr>
              <w:pStyle w:val="181"/>
            </w:pPr>
            <w:r>
              <w:rPr>
                <w:rFonts w:hint="eastAsia"/>
              </w:rPr>
              <w:t>技术要求</w:t>
            </w:r>
          </w:p>
        </w:tc>
      </w:tr>
      <w:tr w14:paraId="04BFE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3EE674EE">
            <w:pPr>
              <w:pStyle w:val="181"/>
            </w:pPr>
            <w:r>
              <w:rPr>
                <w:rFonts w:hint="eastAsia"/>
              </w:rPr>
              <w:t>1</w:t>
            </w:r>
          </w:p>
        </w:tc>
        <w:tc>
          <w:tcPr>
            <w:tcW w:w="2693" w:type="dxa"/>
            <w:tcBorders>
              <w:top w:val="single" w:color="auto" w:sz="8" w:space="0"/>
            </w:tcBorders>
            <w:vAlign w:val="center"/>
          </w:tcPr>
          <w:p w14:paraId="05E5913A">
            <w:pPr>
              <w:pStyle w:val="181"/>
            </w:pPr>
            <w:r>
              <w:rPr>
                <w:rFonts w:hint="eastAsia" w:hAnsi="宋体"/>
                <w:szCs w:val="18"/>
              </w:rPr>
              <w:t>最大输出电平</w:t>
            </w:r>
          </w:p>
        </w:tc>
        <w:tc>
          <w:tcPr>
            <w:tcW w:w="5658" w:type="dxa"/>
            <w:tcBorders>
              <w:top w:val="single" w:color="auto" w:sz="8" w:space="0"/>
            </w:tcBorders>
            <w:vAlign w:val="center"/>
          </w:tcPr>
          <w:p w14:paraId="1913EE65">
            <w:pPr>
              <w:pStyle w:val="181"/>
            </w:pPr>
            <w:r>
              <w:rPr>
                <w:rFonts w:hint="eastAsia" w:hAnsi="宋体"/>
                <w:szCs w:val="18"/>
              </w:rPr>
              <w:t>≥1</w:t>
            </w:r>
            <w:r>
              <w:rPr>
                <w:rFonts w:hAnsi="宋体"/>
                <w:szCs w:val="18"/>
              </w:rPr>
              <w:t xml:space="preserve">4 </w:t>
            </w:r>
            <w:r>
              <w:rPr>
                <w:rFonts w:hint="eastAsia" w:hAnsi="宋体"/>
                <w:szCs w:val="18"/>
              </w:rPr>
              <w:t>dBu（997</w:t>
            </w:r>
            <w:r>
              <w:rPr>
                <w:rFonts w:hAnsi="宋体"/>
                <w:szCs w:val="18"/>
              </w:rPr>
              <w:t xml:space="preserve"> </w:t>
            </w:r>
            <w:r>
              <w:rPr>
                <w:rFonts w:hint="eastAsia" w:hAnsi="宋体"/>
                <w:szCs w:val="18"/>
              </w:rPr>
              <w:t>Hz）</w:t>
            </w:r>
          </w:p>
        </w:tc>
      </w:tr>
      <w:tr w14:paraId="2A4B4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bottom w:val="single" w:color="auto" w:sz="4" w:space="0"/>
            </w:tcBorders>
            <w:vAlign w:val="center"/>
          </w:tcPr>
          <w:p w14:paraId="1177AA9F">
            <w:pPr>
              <w:pStyle w:val="181"/>
            </w:pPr>
            <w:r>
              <w:rPr>
                <w:rFonts w:hint="eastAsia"/>
              </w:rPr>
              <w:t>2</w:t>
            </w:r>
          </w:p>
        </w:tc>
        <w:tc>
          <w:tcPr>
            <w:tcW w:w="2693" w:type="dxa"/>
            <w:tcBorders>
              <w:bottom w:val="single" w:color="auto" w:sz="4" w:space="0"/>
            </w:tcBorders>
            <w:vAlign w:val="center"/>
          </w:tcPr>
          <w:p w14:paraId="543E94D4">
            <w:pPr>
              <w:pStyle w:val="181"/>
            </w:pPr>
            <w:r>
              <w:rPr>
                <w:rFonts w:hint="eastAsia" w:hAnsi="宋体"/>
                <w:szCs w:val="18"/>
              </w:rPr>
              <w:t>通道间增益差</w:t>
            </w:r>
          </w:p>
        </w:tc>
        <w:tc>
          <w:tcPr>
            <w:tcW w:w="5658" w:type="dxa"/>
            <w:tcBorders>
              <w:bottom w:val="single" w:color="auto" w:sz="4" w:space="0"/>
            </w:tcBorders>
            <w:vAlign w:val="center"/>
          </w:tcPr>
          <w:p w14:paraId="4DF94355">
            <w:pPr>
              <w:spacing w:line="240" w:lineRule="auto"/>
              <w:ind w:left="105" w:leftChars="50" w:right="105" w:rightChars="50"/>
              <w:jc w:val="center"/>
              <w:rPr>
                <w:rFonts w:ascii="宋体" w:hAnsi="宋体"/>
                <w:sz w:val="18"/>
                <w:szCs w:val="18"/>
              </w:rPr>
            </w:pPr>
            <w:r>
              <w:rPr>
                <w:rFonts w:hint="eastAsia" w:ascii="宋体" w:hAnsi="宋体"/>
                <w:sz w:val="18"/>
                <w:szCs w:val="18"/>
              </w:rPr>
              <w:t>±0.3</w:t>
            </w:r>
            <w:r>
              <w:rPr>
                <w:rFonts w:ascii="宋体" w:hAnsi="宋体"/>
                <w:sz w:val="18"/>
                <w:szCs w:val="18"/>
              </w:rPr>
              <w:t xml:space="preserve"> </w:t>
            </w:r>
            <w:r>
              <w:rPr>
                <w:rFonts w:hint="eastAsia" w:ascii="宋体" w:hAnsi="宋体"/>
                <w:sz w:val="18"/>
                <w:szCs w:val="18"/>
              </w:rPr>
              <w:t>dB内</w:t>
            </w:r>
          </w:p>
          <w:p w14:paraId="6BADCDC8">
            <w:pPr>
              <w:pStyle w:val="181"/>
            </w:pPr>
            <w:r>
              <w:rPr>
                <w:rFonts w:hint="eastAsia" w:hAnsi="宋体"/>
                <w:szCs w:val="18"/>
              </w:rPr>
              <w:t>（20</w:t>
            </w:r>
            <w:r>
              <w:rPr>
                <w:rFonts w:hAnsi="宋体"/>
                <w:szCs w:val="18"/>
              </w:rPr>
              <w:t xml:space="preserve"> </w:t>
            </w:r>
            <w:r>
              <w:rPr>
                <w:rFonts w:hint="eastAsia" w:hAnsi="宋体"/>
                <w:szCs w:val="18"/>
              </w:rPr>
              <w:t>Hz～20</w:t>
            </w:r>
            <w:r>
              <w:rPr>
                <w:rFonts w:hAnsi="宋体"/>
                <w:szCs w:val="18"/>
              </w:rPr>
              <w:t xml:space="preserve"> k</w:t>
            </w:r>
            <w:r>
              <w:rPr>
                <w:rFonts w:hint="eastAsia" w:hAnsi="宋体"/>
                <w:szCs w:val="18"/>
              </w:rPr>
              <w:t>Hz）</w:t>
            </w:r>
          </w:p>
        </w:tc>
      </w:tr>
    </w:tbl>
    <w:p w14:paraId="03D90709">
      <w:r>
        <w:br w:type="page"/>
      </w:r>
    </w:p>
    <w:p w14:paraId="700CEEB9">
      <w:pPr>
        <w:pStyle w:val="59"/>
        <w:pageBreakBefore/>
        <w:spacing w:before="156" w:beforeLines="50" w:after="156" w:afterLines="50"/>
        <w:ind w:firstLine="0" w:firstLineChars="0"/>
        <w:jc w:val="center"/>
        <w:rPr>
          <w:rFonts w:hint="eastAsia" w:hAnsi="宋体"/>
        </w:rPr>
      </w:pPr>
      <w:r>
        <w:rPr>
          <w:rFonts w:hint="eastAsia" w:ascii="黑体" w:hAnsi="黑体" w:eastAsia="黑体"/>
        </w:rPr>
        <w:t>表2  沉浸式音频处理器音频各输出通路技术要求</w:t>
      </w:r>
      <w:r>
        <w:rPr>
          <w:rFonts w:hint="eastAsia" w:hAnsi="宋体"/>
        </w:rPr>
        <w:t>（续）</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2693"/>
        <w:gridCol w:w="5658"/>
      </w:tblGrid>
      <w:tr w14:paraId="5A850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2C81D362">
            <w:pPr>
              <w:pStyle w:val="181"/>
            </w:pPr>
            <w:r>
              <w:rPr>
                <w:rFonts w:hint="eastAsia"/>
              </w:rPr>
              <w:t>序号</w:t>
            </w:r>
          </w:p>
        </w:tc>
        <w:tc>
          <w:tcPr>
            <w:tcW w:w="2693" w:type="dxa"/>
            <w:tcBorders>
              <w:top w:val="single" w:color="auto" w:sz="8" w:space="0"/>
              <w:bottom w:val="single" w:color="auto" w:sz="8" w:space="0"/>
            </w:tcBorders>
            <w:vAlign w:val="center"/>
          </w:tcPr>
          <w:p w14:paraId="42BDA737">
            <w:pPr>
              <w:pStyle w:val="181"/>
            </w:pPr>
            <w:r>
              <w:rPr>
                <w:rFonts w:hint="eastAsia"/>
              </w:rPr>
              <w:t>参数</w:t>
            </w:r>
          </w:p>
        </w:tc>
        <w:tc>
          <w:tcPr>
            <w:tcW w:w="5658" w:type="dxa"/>
            <w:tcBorders>
              <w:top w:val="single" w:color="auto" w:sz="8" w:space="0"/>
              <w:bottom w:val="single" w:color="auto" w:sz="8" w:space="0"/>
            </w:tcBorders>
            <w:vAlign w:val="center"/>
          </w:tcPr>
          <w:p w14:paraId="056DFFE2">
            <w:pPr>
              <w:pStyle w:val="181"/>
            </w:pPr>
            <w:r>
              <w:rPr>
                <w:rFonts w:hint="eastAsia"/>
              </w:rPr>
              <w:t>技术要求</w:t>
            </w:r>
          </w:p>
        </w:tc>
      </w:tr>
      <w:tr w14:paraId="2D053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4" w:space="0"/>
              <w:bottom w:val="single" w:color="auto" w:sz="4" w:space="0"/>
            </w:tcBorders>
            <w:vAlign w:val="center"/>
          </w:tcPr>
          <w:p w14:paraId="491A5480">
            <w:pPr>
              <w:pStyle w:val="181"/>
            </w:pPr>
            <w:r>
              <w:rPr>
                <w:rFonts w:hint="eastAsia"/>
              </w:rPr>
              <w:t>3</w:t>
            </w:r>
          </w:p>
        </w:tc>
        <w:tc>
          <w:tcPr>
            <w:tcW w:w="2693" w:type="dxa"/>
            <w:tcBorders>
              <w:top w:val="single" w:color="auto" w:sz="4" w:space="0"/>
              <w:bottom w:val="single" w:color="auto" w:sz="4" w:space="0"/>
            </w:tcBorders>
            <w:vAlign w:val="center"/>
          </w:tcPr>
          <w:p w14:paraId="190705FD">
            <w:pPr>
              <w:pStyle w:val="181"/>
            </w:pPr>
            <w:r>
              <w:rPr>
                <w:rFonts w:hint="eastAsia" w:hAnsi="宋体"/>
                <w:szCs w:val="18"/>
              </w:rPr>
              <w:t>幅频响应</w:t>
            </w:r>
          </w:p>
        </w:tc>
        <w:tc>
          <w:tcPr>
            <w:tcW w:w="5658" w:type="dxa"/>
            <w:tcBorders>
              <w:top w:val="single" w:color="auto" w:sz="4" w:space="0"/>
              <w:bottom w:val="single" w:color="auto" w:sz="4" w:space="0"/>
            </w:tcBorders>
            <w:vAlign w:val="center"/>
          </w:tcPr>
          <w:p w14:paraId="46CD730C">
            <w:pPr>
              <w:spacing w:line="240" w:lineRule="auto"/>
              <w:ind w:left="105" w:leftChars="50" w:right="105" w:rightChars="50"/>
              <w:jc w:val="center"/>
              <w:rPr>
                <w:rFonts w:ascii="宋体" w:hAnsi="宋体"/>
                <w:sz w:val="18"/>
                <w:szCs w:val="18"/>
              </w:rPr>
            </w:pPr>
            <w:r>
              <w:rPr>
                <w:rFonts w:hint="eastAsia" w:ascii="宋体" w:hAnsi="宋体"/>
                <w:sz w:val="18"/>
                <w:szCs w:val="18"/>
              </w:rPr>
              <w:t>±0.</w:t>
            </w:r>
            <w:r>
              <w:rPr>
                <w:rFonts w:ascii="宋体" w:hAnsi="宋体"/>
                <w:sz w:val="18"/>
                <w:szCs w:val="18"/>
              </w:rPr>
              <w:t xml:space="preserve">5 </w:t>
            </w:r>
            <w:r>
              <w:rPr>
                <w:rFonts w:hint="eastAsia" w:ascii="宋体" w:hAnsi="宋体"/>
                <w:sz w:val="18"/>
                <w:szCs w:val="18"/>
              </w:rPr>
              <w:t>dB内</w:t>
            </w:r>
          </w:p>
          <w:p w14:paraId="7A5EFAE3">
            <w:pPr>
              <w:pStyle w:val="181"/>
            </w:pPr>
            <w:r>
              <w:rPr>
                <w:rFonts w:hint="eastAsia" w:hAnsi="宋体"/>
                <w:szCs w:val="18"/>
              </w:rPr>
              <w:t>（20</w:t>
            </w:r>
            <w:r>
              <w:rPr>
                <w:rFonts w:hAnsi="宋体"/>
                <w:szCs w:val="18"/>
              </w:rPr>
              <w:t xml:space="preserve"> </w:t>
            </w:r>
            <w:r>
              <w:rPr>
                <w:rFonts w:hint="eastAsia" w:hAnsi="宋体"/>
                <w:szCs w:val="18"/>
              </w:rPr>
              <w:t>Hz～20</w:t>
            </w:r>
            <w:r>
              <w:rPr>
                <w:rFonts w:hAnsi="宋体"/>
                <w:szCs w:val="18"/>
              </w:rPr>
              <w:t xml:space="preserve"> </w:t>
            </w:r>
            <w:r>
              <w:rPr>
                <w:rFonts w:hint="eastAsia" w:hAnsi="宋体"/>
                <w:szCs w:val="18"/>
              </w:rPr>
              <w:t>kHz，参考频率：</w:t>
            </w:r>
            <w:r>
              <w:rPr>
                <w:rFonts w:hAnsi="宋体"/>
                <w:szCs w:val="18"/>
              </w:rPr>
              <w:t xml:space="preserve">997 </w:t>
            </w:r>
            <w:r>
              <w:rPr>
                <w:rFonts w:hint="eastAsia" w:hAnsi="宋体"/>
                <w:szCs w:val="18"/>
              </w:rPr>
              <w:t>Hz）</w:t>
            </w:r>
          </w:p>
        </w:tc>
      </w:tr>
      <w:tr w14:paraId="5DB0F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4" w:space="0"/>
            </w:tcBorders>
            <w:vAlign w:val="center"/>
          </w:tcPr>
          <w:p w14:paraId="4416E1B1">
            <w:pPr>
              <w:pStyle w:val="181"/>
            </w:pPr>
            <w:r>
              <w:rPr>
                <w:rFonts w:hint="eastAsia"/>
              </w:rPr>
              <w:t>4</w:t>
            </w:r>
          </w:p>
        </w:tc>
        <w:tc>
          <w:tcPr>
            <w:tcW w:w="2693" w:type="dxa"/>
            <w:tcBorders>
              <w:top w:val="single" w:color="auto" w:sz="4" w:space="0"/>
            </w:tcBorders>
            <w:vAlign w:val="center"/>
          </w:tcPr>
          <w:p w14:paraId="37DA211C">
            <w:pPr>
              <w:pStyle w:val="181"/>
            </w:pPr>
            <w:r>
              <w:rPr>
                <w:rFonts w:hint="eastAsia" w:hAnsi="宋体"/>
                <w:szCs w:val="18"/>
              </w:rPr>
              <w:t>信噪比</w:t>
            </w:r>
          </w:p>
        </w:tc>
        <w:tc>
          <w:tcPr>
            <w:tcW w:w="5658" w:type="dxa"/>
            <w:tcBorders>
              <w:top w:val="single" w:color="auto" w:sz="4" w:space="0"/>
            </w:tcBorders>
            <w:vAlign w:val="center"/>
          </w:tcPr>
          <w:p w14:paraId="70A2471A">
            <w:pPr>
              <w:pStyle w:val="181"/>
            </w:pPr>
            <w:r>
              <w:rPr>
                <w:rFonts w:hint="eastAsia" w:hAnsi="宋体"/>
                <w:szCs w:val="18"/>
              </w:rPr>
              <w:t>≥</w:t>
            </w:r>
            <w:r>
              <w:rPr>
                <w:rFonts w:hAnsi="宋体"/>
                <w:szCs w:val="18"/>
              </w:rPr>
              <w:t xml:space="preserve">90 </w:t>
            </w:r>
            <w:r>
              <w:rPr>
                <w:rFonts w:hint="eastAsia" w:hAnsi="宋体"/>
                <w:szCs w:val="18"/>
              </w:rPr>
              <w:t>dB（997</w:t>
            </w:r>
            <w:r>
              <w:rPr>
                <w:rFonts w:hAnsi="宋体"/>
                <w:szCs w:val="18"/>
              </w:rPr>
              <w:t xml:space="preserve"> </w:t>
            </w:r>
            <w:r>
              <w:rPr>
                <w:rFonts w:hint="eastAsia" w:hAnsi="宋体"/>
                <w:szCs w:val="18"/>
              </w:rPr>
              <w:t>Hz）</w:t>
            </w:r>
          </w:p>
        </w:tc>
      </w:tr>
      <w:tr w14:paraId="62B1D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4755BD11">
            <w:pPr>
              <w:pStyle w:val="181"/>
            </w:pPr>
            <w:r>
              <w:rPr>
                <w:rFonts w:hint="eastAsia"/>
              </w:rPr>
              <w:t>5</w:t>
            </w:r>
          </w:p>
        </w:tc>
        <w:tc>
          <w:tcPr>
            <w:tcW w:w="2693" w:type="dxa"/>
            <w:vAlign w:val="center"/>
          </w:tcPr>
          <w:p w14:paraId="7FFB05F7">
            <w:pPr>
              <w:pStyle w:val="181"/>
            </w:pPr>
            <w:r>
              <w:rPr>
                <w:rFonts w:hint="eastAsia" w:hAnsi="宋体"/>
                <w:szCs w:val="18"/>
              </w:rPr>
              <w:t>动态范围</w:t>
            </w:r>
          </w:p>
        </w:tc>
        <w:tc>
          <w:tcPr>
            <w:tcW w:w="5658" w:type="dxa"/>
            <w:vAlign w:val="center"/>
          </w:tcPr>
          <w:p w14:paraId="6060C969">
            <w:pPr>
              <w:pStyle w:val="181"/>
            </w:pPr>
            <w:r>
              <w:rPr>
                <w:rFonts w:hint="eastAsia" w:hAnsi="宋体"/>
                <w:szCs w:val="18"/>
              </w:rPr>
              <w:t>≥10</w:t>
            </w:r>
            <w:r>
              <w:rPr>
                <w:rFonts w:hAnsi="宋体"/>
                <w:szCs w:val="18"/>
              </w:rPr>
              <w:t xml:space="preserve">5 </w:t>
            </w:r>
            <w:r>
              <w:rPr>
                <w:rFonts w:hint="eastAsia" w:hAnsi="宋体"/>
                <w:szCs w:val="18"/>
              </w:rPr>
              <w:t>dB（997</w:t>
            </w:r>
            <w:r>
              <w:rPr>
                <w:rFonts w:hAnsi="宋体"/>
                <w:szCs w:val="18"/>
              </w:rPr>
              <w:t xml:space="preserve"> </w:t>
            </w:r>
            <w:r>
              <w:rPr>
                <w:rFonts w:hint="eastAsia" w:hAnsi="宋体"/>
                <w:szCs w:val="18"/>
              </w:rPr>
              <w:t>Hz）</w:t>
            </w:r>
          </w:p>
        </w:tc>
      </w:tr>
      <w:tr w14:paraId="6F763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2AFC8CEA">
            <w:pPr>
              <w:pStyle w:val="181"/>
            </w:pPr>
            <w:r>
              <w:rPr>
                <w:rFonts w:hint="eastAsia"/>
              </w:rPr>
              <w:t>6</w:t>
            </w:r>
          </w:p>
        </w:tc>
        <w:tc>
          <w:tcPr>
            <w:tcW w:w="2693" w:type="dxa"/>
            <w:vAlign w:val="center"/>
          </w:tcPr>
          <w:p w14:paraId="1175A782">
            <w:pPr>
              <w:spacing w:line="240" w:lineRule="auto"/>
              <w:ind w:left="105" w:leftChars="50" w:right="105" w:rightChars="50"/>
              <w:jc w:val="center"/>
              <w:rPr>
                <w:rFonts w:ascii="宋体" w:hAnsi="宋体"/>
                <w:sz w:val="18"/>
                <w:szCs w:val="18"/>
              </w:rPr>
            </w:pPr>
            <w:r>
              <w:rPr>
                <w:rFonts w:hint="eastAsia" w:ascii="宋体" w:hAnsi="宋体"/>
                <w:sz w:val="18"/>
                <w:szCs w:val="18"/>
              </w:rPr>
              <w:t>相邻通道间串音衰减</w:t>
            </w:r>
          </w:p>
        </w:tc>
        <w:tc>
          <w:tcPr>
            <w:tcW w:w="5658" w:type="dxa"/>
            <w:vAlign w:val="center"/>
          </w:tcPr>
          <w:p w14:paraId="6FA898C7">
            <w:pPr>
              <w:pStyle w:val="181"/>
              <w:rPr>
                <w:rFonts w:hAnsi="宋体"/>
                <w:szCs w:val="18"/>
              </w:rPr>
            </w:pPr>
            <w:r>
              <w:rPr>
                <w:rFonts w:hint="eastAsia" w:hAnsi="宋体"/>
                <w:szCs w:val="18"/>
              </w:rPr>
              <w:t>≥</w:t>
            </w:r>
            <w:r>
              <w:rPr>
                <w:rFonts w:hAnsi="宋体"/>
                <w:szCs w:val="18"/>
              </w:rPr>
              <w:t xml:space="preserve">95 </w:t>
            </w:r>
            <w:r>
              <w:rPr>
                <w:rFonts w:hint="eastAsia" w:hAnsi="宋体"/>
                <w:szCs w:val="18"/>
              </w:rPr>
              <w:t>dB（</w:t>
            </w:r>
            <w:r>
              <w:rPr>
                <w:rFonts w:hAnsi="宋体"/>
                <w:szCs w:val="18"/>
              </w:rPr>
              <w:t xml:space="preserve">997 </w:t>
            </w:r>
            <w:r>
              <w:rPr>
                <w:rFonts w:hint="eastAsia" w:hAnsi="宋体"/>
                <w:szCs w:val="18"/>
              </w:rPr>
              <w:t>Hz），≥8</w:t>
            </w:r>
            <w:r>
              <w:rPr>
                <w:rFonts w:hAnsi="宋体"/>
                <w:szCs w:val="18"/>
              </w:rPr>
              <w:t xml:space="preserve">0 </w:t>
            </w:r>
            <w:r>
              <w:rPr>
                <w:rFonts w:hint="eastAsia" w:hAnsi="宋体"/>
                <w:szCs w:val="18"/>
              </w:rPr>
              <w:t>dB（20</w:t>
            </w:r>
            <w:r>
              <w:rPr>
                <w:rFonts w:hAnsi="宋体"/>
                <w:szCs w:val="18"/>
              </w:rPr>
              <w:t xml:space="preserve"> </w:t>
            </w:r>
            <w:r>
              <w:rPr>
                <w:rFonts w:hint="eastAsia" w:hAnsi="宋体"/>
                <w:szCs w:val="18"/>
              </w:rPr>
              <w:t>Hz～20</w:t>
            </w:r>
            <w:r>
              <w:rPr>
                <w:rFonts w:hAnsi="宋体"/>
                <w:szCs w:val="18"/>
              </w:rPr>
              <w:t xml:space="preserve"> k</w:t>
            </w:r>
            <w:r>
              <w:rPr>
                <w:rFonts w:hint="eastAsia" w:hAnsi="宋体"/>
                <w:szCs w:val="18"/>
              </w:rPr>
              <w:t>Hz）</w:t>
            </w:r>
          </w:p>
        </w:tc>
      </w:tr>
      <w:tr w14:paraId="7B741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BEB19A8">
            <w:pPr>
              <w:pStyle w:val="181"/>
            </w:pPr>
            <w:r>
              <w:rPr>
                <w:rFonts w:hint="eastAsia"/>
              </w:rPr>
              <w:t>7</w:t>
            </w:r>
          </w:p>
        </w:tc>
        <w:tc>
          <w:tcPr>
            <w:tcW w:w="2693" w:type="dxa"/>
            <w:vAlign w:val="center"/>
          </w:tcPr>
          <w:p w14:paraId="40727233">
            <w:pPr>
              <w:spacing w:line="240" w:lineRule="auto"/>
              <w:ind w:left="105" w:leftChars="50" w:right="105" w:rightChars="50"/>
              <w:jc w:val="center"/>
              <w:rPr>
                <w:rFonts w:ascii="宋体" w:hAnsi="宋体"/>
                <w:sz w:val="18"/>
                <w:szCs w:val="18"/>
              </w:rPr>
            </w:pPr>
            <w:r>
              <w:rPr>
                <w:rFonts w:hint="eastAsia" w:ascii="宋体" w:hAnsi="宋体"/>
                <w:sz w:val="18"/>
                <w:szCs w:val="18"/>
              </w:rPr>
              <w:t>总谐波失真加噪声</w:t>
            </w:r>
          </w:p>
        </w:tc>
        <w:tc>
          <w:tcPr>
            <w:tcW w:w="5658" w:type="dxa"/>
            <w:vAlign w:val="center"/>
          </w:tcPr>
          <w:p w14:paraId="0D3462C4">
            <w:pPr>
              <w:pStyle w:val="181"/>
              <w:rPr>
                <w:rFonts w:hAnsi="宋体"/>
                <w:szCs w:val="18"/>
              </w:rPr>
            </w:pPr>
            <w:r>
              <w:rPr>
                <w:rFonts w:hint="eastAsia" w:hAnsi="宋体"/>
                <w:szCs w:val="18"/>
              </w:rPr>
              <w:t>≤0.0</w:t>
            </w:r>
            <w:r>
              <w:rPr>
                <w:rFonts w:hAnsi="宋体"/>
                <w:szCs w:val="18"/>
              </w:rPr>
              <w:t>05</w:t>
            </w:r>
            <w:r>
              <w:rPr>
                <w:rFonts w:hint="eastAsia" w:hAnsi="宋体"/>
                <w:szCs w:val="18"/>
              </w:rPr>
              <w:t xml:space="preserve"> %（</w:t>
            </w:r>
            <w:r>
              <w:rPr>
                <w:rFonts w:hAnsi="宋体"/>
                <w:szCs w:val="18"/>
              </w:rPr>
              <w:t xml:space="preserve">997 </w:t>
            </w:r>
            <w:r>
              <w:rPr>
                <w:rFonts w:hint="eastAsia" w:hAnsi="宋体"/>
                <w:szCs w:val="18"/>
              </w:rPr>
              <w:t>Hz），≤0.01%（20</w:t>
            </w:r>
            <w:r>
              <w:rPr>
                <w:rFonts w:hAnsi="宋体"/>
                <w:szCs w:val="18"/>
              </w:rPr>
              <w:t xml:space="preserve"> </w:t>
            </w:r>
            <w:r>
              <w:rPr>
                <w:rFonts w:hint="eastAsia" w:hAnsi="宋体"/>
                <w:szCs w:val="18"/>
              </w:rPr>
              <w:t>Hz～20</w:t>
            </w:r>
            <w:r>
              <w:rPr>
                <w:rFonts w:hAnsi="宋体"/>
                <w:szCs w:val="18"/>
              </w:rPr>
              <w:t xml:space="preserve"> k</w:t>
            </w:r>
            <w:r>
              <w:rPr>
                <w:rFonts w:hint="eastAsia" w:hAnsi="宋体"/>
                <w:szCs w:val="18"/>
              </w:rPr>
              <w:t>Hz）</w:t>
            </w:r>
          </w:p>
        </w:tc>
      </w:tr>
      <w:tr w14:paraId="3EE69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057A4E24">
            <w:pPr>
              <w:pStyle w:val="181"/>
            </w:pPr>
            <w:r>
              <w:rPr>
                <w:rFonts w:hint="eastAsia"/>
              </w:rPr>
              <w:t>8</w:t>
            </w:r>
          </w:p>
        </w:tc>
        <w:tc>
          <w:tcPr>
            <w:tcW w:w="2693" w:type="dxa"/>
            <w:vAlign w:val="center"/>
          </w:tcPr>
          <w:p w14:paraId="721BE961">
            <w:pPr>
              <w:pStyle w:val="181"/>
              <w:rPr>
                <w:rFonts w:hAnsi="宋体"/>
                <w:szCs w:val="18"/>
              </w:rPr>
            </w:pPr>
            <w:r>
              <w:rPr>
                <w:rFonts w:hint="eastAsia" w:hAnsi="宋体"/>
                <w:szCs w:val="18"/>
              </w:rPr>
              <w:t>互调失真</w:t>
            </w:r>
          </w:p>
        </w:tc>
        <w:tc>
          <w:tcPr>
            <w:tcW w:w="5658" w:type="dxa"/>
            <w:vAlign w:val="center"/>
          </w:tcPr>
          <w:p w14:paraId="2E4ECDFA">
            <w:pPr>
              <w:pStyle w:val="181"/>
              <w:rPr>
                <w:rFonts w:hAnsi="宋体"/>
                <w:szCs w:val="18"/>
              </w:rPr>
            </w:pPr>
            <w:r>
              <w:rPr>
                <w:rFonts w:hint="eastAsia" w:hAnsi="宋体"/>
                <w:szCs w:val="18"/>
              </w:rPr>
              <w:t>≤0.0</w:t>
            </w:r>
            <w:r>
              <w:rPr>
                <w:rFonts w:hAnsi="宋体"/>
                <w:szCs w:val="18"/>
              </w:rPr>
              <w:t>2</w:t>
            </w:r>
            <w:r>
              <w:rPr>
                <w:rFonts w:hint="eastAsia" w:hAnsi="宋体"/>
                <w:szCs w:val="18"/>
              </w:rPr>
              <w:t>%</w:t>
            </w:r>
          </w:p>
        </w:tc>
      </w:tr>
      <w:tr w14:paraId="7EB47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7AEC4D74">
            <w:pPr>
              <w:pStyle w:val="181"/>
            </w:pPr>
            <w:r>
              <w:rPr>
                <w:rFonts w:hint="eastAsia"/>
              </w:rPr>
              <w:t>9</w:t>
            </w:r>
          </w:p>
        </w:tc>
        <w:tc>
          <w:tcPr>
            <w:tcW w:w="2693" w:type="dxa"/>
            <w:vAlign w:val="center"/>
          </w:tcPr>
          <w:p w14:paraId="02C4A03B">
            <w:pPr>
              <w:pStyle w:val="181"/>
              <w:rPr>
                <w:rFonts w:hAnsi="宋体"/>
                <w:szCs w:val="18"/>
              </w:rPr>
            </w:pPr>
            <w:r>
              <w:rPr>
                <w:rFonts w:hint="eastAsia" w:hAnsi="宋体"/>
                <w:szCs w:val="18"/>
              </w:rPr>
              <w:t>相邻通道间相位差</w:t>
            </w:r>
          </w:p>
        </w:tc>
        <w:tc>
          <w:tcPr>
            <w:tcW w:w="5658" w:type="dxa"/>
            <w:vAlign w:val="center"/>
          </w:tcPr>
          <w:p w14:paraId="423AD980">
            <w:pPr>
              <w:pStyle w:val="181"/>
              <w:ind w:left="105" w:leftChars="50" w:right="105" w:rightChars="50"/>
              <w:rPr>
                <w:rFonts w:hAnsi="宋体"/>
                <w:szCs w:val="18"/>
              </w:rPr>
            </w:pPr>
            <w:r>
              <w:rPr>
                <w:rFonts w:hint="eastAsia" w:hAnsi="宋体"/>
                <w:szCs w:val="18"/>
              </w:rPr>
              <w:t>应控制在±2°之内</w:t>
            </w:r>
          </w:p>
          <w:p w14:paraId="643DEB0D">
            <w:pPr>
              <w:pStyle w:val="181"/>
              <w:rPr>
                <w:rFonts w:hAnsi="宋体"/>
                <w:szCs w:val="18"/>
              </w:rPr>
            </w:pPr>
            <w:r>
              <w:rPr>
                <w:rFonts w:hint="eastAsia" w:hAnsi="宋体"/>
                <w:szCs w:val="18"/>
              </w:rPr>
              <w:t>（20</w:t>
            </w:r>
            <w:r>
              <w:rPr>
                <w:rFonts w:hAnsi="宋体"/>
                <w:szCs w:val="18"/>
              </w:rPr>
              <w:t xml:space="preserve"> </w:t>
            </w:r>
            <w:r>
              <w:rPr>
                <w:rFonts w:hint="eastAsia" w:hAnsi="宋体"/>
                <w:szCs w:val="18"/>
              </w:rPr>
              <w:t>Hz～20</w:t>
            </w:r>
            <w:r>
              <w:rPr>
                <w:rFonts w:hAnsi="宋体"/>
                <w:szCs w:val="18"/>
              </w:rPr>
              <w:t xml:space="preserve"> k</w:t>
            </w:r>
            <w:r>
              <w:rPr>
                <w:rFonts w:hint="eastAsia" w:hAnsi="宋体"/>
                <w:szCs w:val="18"/>
              </w:rPr>
              <w:t>Hz）</w:t>
            </w:r>
          </w:p>
        </w:tc>
      </w:tr>
      <w:bookmarkEnd w:id="106"/>
    </w:tbl>
    <w:p w14:paraId="472C3CDC">
      <w:pPr>
        <w:pStyle w:val="108"/>
        <w:spacing w:before="156" w:after="156"/>
      </w:pPr>
      <w:bookmarkStart w:id="107" w:name="_Toc203577734"/>
      <w:bookmarkStart w:id="108" w:name="_Toc54597425"/>
      <w:bookmarkStart w:id="109" w:name="_Toc28399"/>
      <w:r>
        <w:rPr>
          <w:rFonts w:hint="eastAsia"/>
        </w:rPr>
        <w:t>设备可靠性和稳定性</w:t>
      </w:r>
      <w:bookmarkEnd w:id="107"/>
      <w:bookmarkEnd w:id="108"/>
      <w:bookmarkEnd w:id="109"/>
    </w:p>
    <w:p w14:paraId="7F06BDB6">
      <w:pPr>
        <w:pStyle w:val="233"/>
      </w:pPr>
      <w:r>
        <w:rPr>
          <w:rFonts w:hint="eastAsia"/>
        </w:rPr>
        <w:t>数字影院沉浸式音频处理器设备可靠性和稳定性技术要求应符合表3的规定。</w:t>
      </w:r>
    </w:p>
    <w:p w14:paraId="55C942FD">
      <w:pPr>
        <w:pStyle w:val="115"/>
        <w:spacing w:before="156" w:after="156"/>
        <w:ind w:left="0"/>
      </w:pPr>
      <w:r>
        <w:rPr>
          <w:rFonts w:hint="eastAsia"/>
        </w:rPr>
        <w:t>设备可靠性和稳定性技术要求</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559"/>
        <w:gridCol w:w="7076"/>
      </w:tblGrid>
      <w:tr w14:paraId="6BECF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tcBorders>
            <w:vAlign w:val="center"/>
          </w:tcPr>
          <w:p w14:paraId="0651D8A9">
            <w:pPr>
              <w:pStyle w:val="181"/>
              <w:ind w:left="105" w:leftChars="50" w:right="105" w:rightChars="50"/>
            </w:pPr>
            <w:r>
              <w:rPr>
                <w:rFonts w:hint="eastAsia"/>
              </w:rPr>
              <w:t>序号</w:t>
            </w:r>
          </w:p>
        </w:tc>
        <w:tc>
          <w:tcPr>
            <w:tcW w:w="1559" w:type="dxa"/>
            <w:tcBorders>
              <w:top w:val="single" w:color="auto" w:sz="8" w:space="0"/>
            </w:tcBorders>
            <w:vAlign w:val="center"/>
          </w:tcPr>
          <w:p w14:paraId="66665965">
            <w:pPr>
              <w:pStyle w:val="181"/>
              <w:ind w:left="105" w:leftChars="50" w:right="105" w:rightChars="50"/>
            </w:pPr>
            <w:r>
              <w:rPr>
                <w:rFonts w:hint="eastAsia"/>
              </w:rPr>
              <w:t>参数</w:t>
            </w:r>
          </w:p>
        </w:tc>
        <w:tc>
          <w:tcPr>
            <w:tcW w:w="7076" w:type="dxa"/>
            <w:tcBorders>
              <w:top w:val="single" w:color="auto" w:sz="8" w:space="0"/>
              <w:bottom w:val="single" w:color="auto" w:sz="8" w:space="0"/>
            </w:tcBorders>
            <w:vAlign w:val="center"/>
          </w:tcPr>
          <w:p w14:paraId="7EC153D8">
            <w:pPr>
              <w:pStyle w:val="181"/>
              <w:ind w:left="105" w:leftChars="50" w:right="105" w:rightChars="50"/>
            </w:pPr>
            <w:r>
              <w:rPr>
                <w:rFonts w:hint="eastAsia"/>
              </w:rPr>
              <w:t>技术要求</w:t>
            </w:r>
          </w:p>
        </w:tc>
      </w:tr>
      <w:tr w14:paraId="11F7F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vAlign w:val="center"/>
          </w:tcPr>
          <w:p w14:paraId="225EBEA5">
            <w:pPr>
              <w:pStyle w:val="181"/>
              <w:ind w:left="105" w:leftChars="50" w:right="105" w:rightChars="50"/>
            </w:pPr>
            <w:r>
              <w:rPr>
                <w:rFonts w:hint="eastAsia"/>
              </w:rPr>
              <w:t>1</w:t>
            </w:r>
          </w:p>
        </w:tc>
        <w:tc>
          <w:tcPr>
            <w:tcW w:w="1559" w:type="dxa"/>
            <w:tcBorders>
              <w:top w:val="single" w:color="auto" w:sz="8" w:space="0"/>
            </w:tcBorders>
            <w:vAlign w:val="center"/>
          </w:tcPr>
          <w:p w14:paraId="2E189DF0">
            <w:pPr>
              <w:pStyle w:val="181"/>
              <w:ind w:left="105" w:leftChars="50" w:right="105" w:rightChars="50"/>
            </w:pPr>
            <w:bookmarkStart w:id="110" w:name="_Hlk72576348"/>
            <w:r>
              <w:rPr>
                <w:rFonts w:hint="eastAsia"/>
              </w:rPr>
              <w:t>温湿度适应能力</w:t>
            </w:r>
            <w:bookmarkEnd w:id="110"/>
          </w:p>
        </w:tc>
        <w:tc>
          <w:tcPr>
            <w:tcW w:w="7076" w:type="dxa"/>
            <w:tcBorders>
              <w:top w:val="single" w:color="auto" w:sz="8" w:space="0"/>
            </w:tcBorders>
            <w:vAlign w:val="center"/>
          </w:tcPr>
          <w:p w14:paraId="1BBCA6ED">
            <w:pPr>
              <w:pStyle w:val="181"/>
              <w:ind w:left="105" w:leftChars="50" w:right="105" w:rightChars="50"/>
              <w:jc w:val="both"/>
            </w:pPr>
            <w:r>
              <w:rPr>
                <w:rFonts w:hint="eastAsia"/>
                <w:szCs w:val="21"/>
              </w:rPr>
              <w:t>设备在温度为0 ºC～40</w:t>
            </w:r>
            <w:r>
              <w:rPr>
                <w:szCs w:val="21"/>
              </w:rPr>
              <w:t xml:space="preserve"> </w:t>
            </w:r>
            <w:r>
              <w:rPr>
                <w:rFonts w:hint="eastAsia"/>
                <w:szCs w:val="21"/>
              </w:rPr>
              <w:t>ºC、相对湿度为10%～80%的测量环境中应能够连续8</w:t>
            </w:r>
            <w:r>
              <w:rPr>
                <w:szCs w:val="21"/>
              </w:rPr>
              <w:t xml:space="preserve"> </w:t>
            </w:r>
            <w:r>
              <w:rPr>
                <w:rFonts w:hint="eastAsia"/>
                <w:szCs w:val="21"/>
              </w:rPr>
              <w:t>h正常稳定运行。</w:t>
            </w:r>
          </w:p>
        </w:tc>
      </w:tr>
      <w:tr w14:paraId="11B09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0A5E9FE8">
            <w:pPr>
              <w:pStyle w:val="181"/>
              <w:ind w:left="105" w:leftChars="50" w:right="105" w:rightChars="50"/>
            </w:pPr>
            <w:r>
              <w:t>2</w:t>
            </w:r>
          </w:p>
        </w:tc>
        <w:tc>
          <w:tcPr>
            <w:tcW w:w="1559" w:type="dxa"/>
            <w:vAlign w:val="center"/>
          </w:tcPr>
          <w:p w14:paraId="6E57A7C1">
            <w:pPr>
              <w:pStyle w:val="181"/>
              <w:ind w:left="105" w:leftChars="50" w:right="105" w:rightChars="50"/>
            </w:pPr>
            <w:r>
              <w:rPr>
                <w:rFonts w:hint="eastAsia"/>
              </w:rPr>
              <w:t>电源适应范围</w:t>
            </w:r>
          </w:p>
        </w:tc>
        <w:tc>
          <w:tcPr>
            <w:tcW w:w="7076" w:type="dxa"/>
            <w:vAlign w:val="center"/>
          </w:tcPr>
          <w:p w14:paraId="31E86C95">
            <w:pPr>
              <w:pStyle w:val="181"/>
              <w:ind w:left="105" w:leftChars="50" w:right="105" w:rightChars="50"/>
            </w:pPr>
            <w:r>
              <w:rPr>
                <w:rFonts w:hint="eastAsia"/>
                <w:szCs w:val="21"/>
              </w:rPr>
              <w:t>设备在160</w:t>
            </w:r>
            <w:r>
              <w:rPr>
                <w:szCs w:val="21"/>
              </w:rPr>
              <w:t xml:space="preserve"> </w:t>
            </w:r>
            <w:r>
              <w:rPr>
                <w:rFonts w:hint="eastAsia"/>
                <w:szCs w:val="21"/>
              </w:rPr>
              <w:t>V～240</w:t>
            </w:r>
            <w:r>
              <w:rPr>
                <w:szCs w:val="21"/>
              </w:rPr>
              <w:t xml:space="preserve"> </w:t>
            </w:r>
            <w:r>
              <w:rPr>
                <w:rFonts w:hint="eastAsia"/>
                <w:szCs w:val="21"/>
              </w:rPr>
              <w:t>V交流电源范围内，设备应能够正常工作。</w:t>
            </w:r>
          </w:p>
        </w:tc>
      </w:tr>
      <w:tr w14:paraId="269D0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681F75E9">
            <w:pPr>
              <w:pStyle w:val="181"/>
              <w:ind w:left="105" w:leftChars="50" w:right="105" w:rightChars="50"/>
            </w:pPr>
            <w:r>
              <w:t>3</w:t>
            </w:r>
          </w:p>
        </w:tc>
        <w:tc>
          <w:tcPr>
            <w:tcW w:w="1559" w:type="dxa"/>
            <w:vAlign w:val="center"/>
          </w:tcPr>
          <w:p w14:paraId="1338E4FF">
            <w:pPr>
              <w:pStyle w:val="181"/>
              <w:ind w:left="105" w:leftChars="50" w:right="105" w:rightChars="50"/>
            </w:pPr>
            <w:r>
              <w:rPr>
                <w:rFonts w:hint="eastAsia"/>
              </w:rPr>
              <w:t>断电保护</w:t>
            </w:r>
          </w:p>
        </w:tc>
        <w:tc>
          <w:tcPr>
            <w:tcW w:w="7076" w:type="dxa"/>
            <w:vAlign w:val="center"/>
          </w:tcPr>
          <w:p w14:paraId="661CD149">
            <w:pPr>
              <w:pStyle w:val="181"/>
              <w:ind w:left="105" w:leftChars="50" w:right="105" w:rightChars="50"/>
            </w:pPr>
            <w:r>
              <w:rPr>
                <w:rFonts w:hint="eastAsia"/>
              </w:rPr>
              <w:t>设备在非正常断电后，重新开机应能够正常播放。</w:t>
            </w:r>
          </w:p>
        </w:tc>
      </w:tr>
      <w:tr w14:paraId="3F1CC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F495E30">
            <w:pPr>
              <w:pStyle w:val="181"/>
              <w:ind w:left="105" w:leftChars="50" w:right="105" w:rightChars="50"/>
            </w:pPr>
            <w:r>
              <w:t>4</w:t>
            </w:r>
          </w:p>
        </w:tc>
        <w:tc>
          <w:tcPr>
            <w:tcW w:w="1559" w:type="dxa"/>
            <w:vAlign w:val="center"/>
          </w:tcPr>
          <w:p w14:paraId="625B4C69">
            <w:pPr>
              <w:pStyle w:val="181"/>
              <w:ind w:left="105" w:leftChars="50" w:right="105" w:rightChars="50"/>
            </w:pPr>
            <w:r>
              <w:rPr>
                <w:rFonts w:hint="eastAsia"/>
              </w:rPr>
              <w:t>规范操作</w:t>
            </w:r>
          </w:p>
        </w:tc>
        <w:tc>
          <w:tcPr>
            <w:tcW w:w="7076" w:type="dxa"/>
            <w:vAlign w:val="center"/>
          </w:tcPr>
          <w:p w14:paraId="38271C6E">
            <w:pPr>
              <w:pStyle w:val="181"/>
              <w:ind w:left="105" w:leftChars="50" w:right="105" w:rightChars="50"/>
            </w:pPr>
            <w:r>
              <w:rPr>
                <w:rFonts w:hint="eastAsia"/>
              </w:rPr>
              <w:t>设备按产品说明书规范操作，设备应能无差错稳定工作。</w:t>
            </w:r>
          </w:p>
        </w:tc>
      </w:tr>
    </w:tbl>
    <w:p w14:paraId="4E5644EA">
      <w:pPr>
        <w:pStyle w:val="107"/>
        <w:spacing w:before="312" w:after="312"/>
      </w:pPr>
      <w:bookmarkStart w:id="111" w:name="_Toc9648"/>
      <w:bookmarkStart w:id="112" w:name="_Toc54597426"/>
      <w:bookmarkStart w:id="113" w:name="_Toc203577735"/>
      <w:r>
        <w:rPr>
          <w:rFonts w:hint="eastAsia"/>
        </w:rPr>
        <w:t>测量方法</w:t>
      </w:r>
      <w:bookmarkEnd w:id="111"/>
      <w:bookmarkEnd w:id="112"/>
      <w:bookmarkEnd w:id="113"/>
    </w:p>
    <w:p w14:paraId="70342AF2">
      <w:pPr>
        <w:pStyle w:val="108"/>
        <w:spacing w:before="156" w:after="156"/>
      </w:pPr>
      <w:bookmarkStart w:id="114" w:name="_Toc203577736"/>
      <w:bookmarkStart w:id="115" w:name="_Toc54597427"/>
      <w:bookmarkStart w:id="116" w:name="_Toc7252"/>
      <w:r>
        <w:rPr>
          <w:rFonts w:hint="eastAsia"/>
        </w:rPr>
        <w:t>测量环境要求</w:t>
      </w:r>
      <w:bookmarkEnd w:id="114"/>
      <w:bookmarkEnd w:id="115"/>
      <w:bookmarkEnd w:id="116"/>
    </w:p>
    <w:p w14:paraId="4DC51ECF">
      <w:pPr>
        <w:pStyle w:val="59"/>
        <w:ind w:firstLine="420"/>
      </w:pPr>
      <w:r>
        <w:rPr>
          <w:rFonts w:hint="eastAsia"/>
        </w:rPr>
        <w:t>测量环境要求如下：</w:t>
      </w:r>
    </w:p>
    <w:p w14:paraId="1C99299A">
      <w:pPr>
        <w:pStyle w:val="135"/>
        <w:ind w:left="840" w:leftChars="200" w:hanging="420" w:hangingChars="200"/>
      </w:pPr>
      <w:r>
        <w:rPr>
          <w:rFonts w:hint="eastAsia"/>
        </w:rPr>
        <w:t>测量环境温度应为15 ℃～35 ℃，相对湿度应为10%～</w:t>
      </w:r>
      <w:r>
        <w:t>8</w:t>
      </w:r>
      <w:r>
        <w:rPr>
          <w:rFonts w:hint="eastAsia"/>
        </w:rPr>
        <w:t>0%，大气压力应为86 kPa～110 kPa；</w:t>
      </w:r>
    </w:p>
    <w:p w14:paraId="7C894CED">
      <w:pPr>
        <w:pStyle w:val="135"/>
        <w:ind w:left="840" w:leftChars="200" w:hanging="420" w:hangingChars="200"/>
      </w:pPr>
      <w:r>
        <w:rPr>
          <w:rFonts w:hint="eastAsia"/>
        </w:rPr>
        <w:t>电源电压应为 （220±2）VAC、频率应为 （50±1）Hz、电源谐波失真不应高于3%；</w:t>
      </w:r>
    </w:p>
    <w:p w14:paraId="4E9D50A9">
      <w:pPr>
        <w:pStyle w:val="135"/>
        <w:ind w:left="840" w:leftChars="200" w:hanging="420" w:hangingChars="200"/>
      </w:pPr>
      <w:r>
        <w:rPr>
          <w:rFonts w:hint="eastAsia"/>
        </w:rPr>
        <w:t>所有设备应处于正常稳定工作状态或按测量要求进行配置；</w:t>
      </w:r>
    </w:p>
    <w:p w14:paraId="108F147B">
      <w:pPr>
        <w:pStyle w:val="135"/>
        <w:ind w:left="840" w:leftChars="200" w:hanging="420" w:hangingChars="200"/>
        <w:rPr>
          <w:rFonts w:hint="eastAsia"/>
        </w:rPr>
      </w:pPr>
      <w:r>
        <w:rPr>
          <w:rFonts w:hint="eastAsia"/>
        </w:rPr>
        <w:t>测量影厅的声学环境应</w:t>
      </w:r>
      <w:r>
        <w:rPr>
          <w:rFonts w:hint="eastAsia"/>
          <w:highlight w:val="none"/>
          <w:lang w:val="en-US" w:eastAsia="zh-CN"/>
        </w:rPr>
        <w:t>符合</w:t>
      </w:r>
      <w:r>
        <w:rPr>
          <w:rFonts w:hint="eastAsia"/>
        </w:rPr>
        <w:t>GY/T</w:t>
      </w:r>
      <w:r>
        <w:rPr>
          <w:rFonts w:hint="eastAsia"/>
          <w:lang w:val="en-US" w:eastAsia="zh-CN"/>
        </w:rPr>
        <w:t xml:space="preserve"> </w:t>
      </w:r>
      <w:r>
        <w:rPr>
          <w:rFonts w:hint="eastAsia"/>
        </w:rPr>
        <w:t>311的</w:t>
      </w:r>
      <w:r>
        <w:rPr>
          <w:rFonts w:hint="eastAsia"/>
          <w:lang w:val="en-US" w:eastAsia="zh-CN"/>
        </w:rPr>
        <w:t>声学</w:t>
      </w:r>
      <w:r>
        <w:rPr>
          <w:rFonts w:hint="eastAsia"/>
        </w:rPr>
        <w:t>要求。</w:t>
      </w:r>
    </w:p>
    <w:p w14:paraId="4661AEE6">
      <w:pPr>
        <w:pStyle w:val="108"/>
        <w:spacing w:before="156" w:after="156"/>
      </w:pPr>
      <w:bookmarkStart w:id="117" w:name="_Toc31392"/>
      <w:bookmarkStart w:id="118" w:name="_Toc203577737"/>
      <w:r>
        <w:rPr>
          <w:rFonts w:hint="eastAsia"/>
        </w:rPr>
        <w:t>测量条件</w:t>
      </w:r>
      <w:bookmarkEnd w:id="117"/>
      <w:bookmarkEnd w:id="118"/>
    </w:p>
    <w:p w14:paraId="35A917A0">
      <w:pPr>
        <w:pStyle w:val="68"/>
        <w:spacing w:before="156" w:after="156"/>
      </w:pPr>
      <w:r>
        <w:rPr>
          <w:rFonts w:hint="eastAsia"/>
        </w:rPr>
        <w:t>测量仪器和设备</w:t>
      </w:r>
    </w:p>
    <w:p w14:paraId="298CFEDA">
      <w:pPr>
        <w:pStyle w:val="59"/>
        <w:ind w:firstLine="420"/>
      </w:pPr>
      <w:r>
        <w:rPr>
          <w:rFonts w:hint="eastAsia"/>
        </w:rPr>
        <w:t>测量仪器和设备要求如下：</w:t>
      </w:r>
    </w:p>
    <w:p w14:paraId="20C0EC7F">
      <w:pPr>
        <w:pStyle w:val="135"/>
        <w:ind w:left="840" w:leftChars="200" w:hanging="420" w:hangingChars="200"/>
      </w:pPr>
      <w:r>
        <w:rPr>
          <w:rFonts w:hint="eastAsia"/>
        </w:rPr>
        <w:t>音频信号发生器应具有数字音频信号接口（</w:t>
      </w:r>
      <w:bookmarkStart w:id="119" w:name="OLE_LINK33"/>
      <w:r>
        <w:rPr>
          <w:rFonts w:hint="eastAsia"/>
        </w:rPr>
        <w:t>应</w:t>
      </w:r>
      <w:bookmarkEnd w:id="119"/>
      <w:r>
        <w:rPr>
          <w:rFonts w:hint="eastAsia"/>
        </w:rPr>
        <w:t>符合GY/T 158—2000，XLR平衡接口）和模拟音频信号接口（XLR平衡接口），能产生本文件中规定的测试音频信号；</w:t>
      </w:r>
    </w:p>
    <w:p w14:paraId="15DD284F">
      <w:pPr>
        <w:pStyle w:val="135"/>
        <w:ind w:left="840" w:leftChars="200" w:hanging="420" w:hangingChars="200"/>
      </w:pPr>
      <w:r>
        <w:rPr>
          <w:rFonts w:hint="eastAsia"/>
        </w:rPr>
        <w:t>音频信号测试仪应具有数字音频信号接口（应符合GY/T 158—2000，</w:t>
      </w:r>
      <w:bookmarkStart w:id="120" w:name="OLE_LINK5"/>
      <w:r>
        <w:rPr>
          <w:rFonts w:hint="eastAsia"/>
        </w:rPr>
        <w:t>XLR</w:t>
      </w:r>
      <w:bookmarkEnd w:id="120"/>
      <w:r>
        <w:rPr>
          <w:rFonts w:hint="eastAsia"/>
        </w:rPr>
        <w:t>平衡接口）和模拟音频信号接口（XLR平衡接口），能读取本文件测量方法所规定的测试项目参数；</w:t>
      </w:r>
    </w:p>
    <w:p w14:paraId="7A6709E2">
      <w:pPr>
        <w:pStyle w:val="135"/>
        <w:ind w:left="840" w:leftChars="200" w:hanging="420" w:hangingChars="200"/>
      </w:pPr>
      <w:r>
        <w:rPr>
          <w:rFonts w:hint="eastAsia"/>
        </w:rPr>
        <w:t>音频信号发生器和音频信号测试仪的精度应优于被测设备指标一个数量级；</w:t>
      </w:r>
    </w:p>
    <w:p w14:paraId="2A118A41">
      <w:pPr>
        <w:pStyle w:val="135"/>
        <w:ind w:left="840" w:leftChars="200" w:hanging="420" w:hangingChars="200"/>
      </w:pPr>
      <w:r>
        <w:rPr>
          <w:rFonts w:hint="eastAsia"/>
        </w:rPr>
        <w:t>音频信号测试仪输出正弦波形失真度不应大于0</w:t>
      </w:r>
      <w:r>
        <w:t>.003</w:t>
      </w:r>
      <w:r>
        <w:rPr>
          <w:rFonts w:hint="eastAsia"/>
        </w:rPr>
        <w:t>%（频率：</w:t>
      </w:r>
      <w:r>
        <w:t>20 Hz</w:t>
      </w:r>
      <w:r>
        <w:rPr>
          <w:rFonts w:hint="eastAsia"/>
        </w:rPr>
        <w:t>～2</w:t>
      </w:r>
      <w:r>
        <w:t>0 kHz）</w:t>
      </w:r>
      <w:r>
        <w:rPr>
          <w:rFonts w:hint="eastAsia"/>
        </w:rPr>
        <w:t>、电压误差不应大于</w:t>
      </w:r>
      <w:r>
        <w:t>1%</w:t>
      </w:r>
      <w:r>
        <w:rPr>
          <w:rFonts w:hint="eastAsia"/>
        </w:rPr>
        <w:t>（电压范围：1</w:t>
      </w:r>
      <w:r>
        <w:t xml:space="preserve"> </w:t>
      </w:r>
      <w:r>
        <w:rPr>
          <w:rFonts w:hint="eastAsia"/>
        </w:rPr>
        <w:t>m</w:t>
      </w:r>
      <w:r>
        <w:t>V</w:t>
      </w:r>
      <w:r>
        <w:rPr>
          <w:rFonts w:hint="eastAsia"/>
        </w:rPr>
        <w:t>～1</w:t>
      </w:r>
      <w:r>
        <w:t>0 V</w:t>
      </w:r>
      <w:r>
        <w:rPr>
          <w:rFonts w:hint="eastAsia"/>
        </w:rPr>
        <w:t>，频率：1</w:t>
      </w:r>
      <w:r>
        <w:t xml:space="preserve"> </w:t>
      </w:r>
      <w:r>
        <w:rPr>
          <w:rFonts w:hint="eastAsia"/>
        </w:rPr>
        <w:t>k</w:t>
      </w:r>
      <w:r>
        <w:t>Hz</w:t>
      </w:r>
      <w:r>
        <w:rPr>
          <w:rFonts w:hint="eastAsia"/>
        </w:rPr>
        <w:t>）、失真度测量误差不应大于5%（频率：</w:t>
      </w:r>
      <w:r>
        <w:t>20 Hz</w:t>
      </w:r>
      <w:r>
        <w:rPr>
          <w:rFonts w:hint="eastAsia"/>
        </w:rPr>
        <w:t>～2</w:t>
      </w:r>
      <w:r>
        <w:t>0 kHz）</w:t>
      </w:r>
      <w:r>
        <w:rPr>
          <w:rFonts w:hint="eastAsia"/>
        </w:rPr>
        <w:t>；</w:t>
      </w:r>
    </w:p>
    <w:p w14:paraId="6C69964D">
      <w:pPr>
        <w:pStyle w:val="135"/>
        <w:ind w:left="840" w:leftChars="200" w:hanging="420" w:hangingChars="200"/>
      </w:pPr>
      <w:r>
        <w:rPr>
          <w:rFonts w:hint="eastAsia"/>
        </w:rPr>
        <w:t>音频信号测试仪应具有20</w:t>
      </w:r>
      <w:r>
        <w:t xml:space="preserve"> </w:t>
      </w:r>
      <w:r>
        <w:rPr>
          <w:rFonts w:hint="eastAsia"/>
        </w:rPr>
        <w:t>Hz～100</w:t>
      </w:r>
      <w:r>
        <w:t xml:space="preserve"> </w:t>
      </w:r>
      <w:r>
        <w:rPr>
          <w:rFonts w:hint="eastAsia"/>
        </w:rPr>
        <w:t>kHz带通滤波器功能，起始频率和截止频率应在通带内可调；</w:t>
      </w:r>
    </w:p>
    <w:p w14:paraId="33511AD7">
      <w:pPr>
        <w:pStyle w:val="135"/>
        <w:ind w:left="840" w:leftChars="200" w:hanging="420" w:hangingChars="200"/>
      </w:pPr>
      <w:r>
        <w:rPr>
          <w:rFonts w:hint="eastAsia"/>
        </w:rPr>
        <w:t>可调节恒压电源的交流电压调节范围应不小于</w:t>
      </w:r>
      <w:r>
        <w:t>140 V/50 Hz</w:t>
      </w:r>
      <w:r>
        <w:rPr>
          <w:rFonts w:hint="eastAsia"/>
        </w:rPr>
        <w:t>～</w:t>
      </w:r>
      <w:r>
        <w:t>260 V/50 Hz</w:t>
      </w:r>
      <w:r>
        <w:rPr>
          <w:rFonts w:hint="eastAsia"/>
        </w:rPr>
        <w:t>，A</w:t>
      </w:r>
      <w:r>
        <w:t>C</w:t>
      </w:r>
      <w:r>
        <w:rPr>
          <w:rFonts w:hint="eastAsia"/>
        </w:rPr>
        <w:t>输出失真度不大于0</w:t>
      </w:r>
      <w:r>
        <w:t>.5</w:t>
      </w:r>
      <w:r>
        <w:rPr>
          <w:rFonts w:hint="eastAsia"/>
        </w:rPr>
        <w:t>%，A</w:t>
      </w:r>
      <w:r>
        <w:t>C</w:t>
      </w:r>
      <w:r>
        <w:rPr>
          <w:rFonts w:hint="eastAsia"/>
        </w:rPr>
        <w:t>电压调整步进不大于0</w:t>
      </w:r>
      <w:r>
        <w:t>.3 V</w:t>
      </w:r>
      <w:r>
        <w:rPr>
          <w:rFonts w:hint="eastAsia"/>
        </w:rPr>
        <w:t>；</w:t>
      </w:r>
    </w:p>
    <w:p w14:paraId="3467FAB6">
      <w:pPr>
        <w:pStyle w:val="135"/>
        <w:ind w:left="840" w:leftChars="200" w:hanging="420" w:hangingChars="200"/>
      </w:pPr>
      <w:r>
        <w:rPr>
          <w:rFonts w:hint="eastAsia"/>
        </w:rPr>
        <w:t>高低温试验箱的温度可调节范围不应小于</w:t>
      </w:r>
      <w:r>
        <w:t xml:space="preserve">0 </w:t>
      </w:r>
      <w:r>
        <w:rPr>
          <w:rFonts w:hint="eastAsia"/>
        </w:rPr>
        <w:t>℃～</w:t>
      </w:r>
      <w:r>
        <w:t xml:space="preserve">40 </w:t>
      </w:r>
      <w:r>
        <w:rPr>
          <w:rFonts w:hint="eastAsia"/>
        </w:rPr>
        <w:t>℃、均匀度不应大于1</w:t>
      </w:r>
      <w:r>
        <w:t xml:space="preserve"> </w:t>
      </w:r>
      <w:r>
        <w:rPr>
          <w:rFonts w:hint="eastAsia"/>
        </w:rPr>
        <w:t>℃，相对湿度可调节范围不应小于</w:t>
      </w:r>
      <w:r>
        <w:t>10</w:t>
      </w:r>
      <w:r>
        <w:rPr>
          <w:rFonts w:hint="eastAsia"/>
        </w:rPr>
        <w:t>%～</w:t>
      </w:r>
      <w:r>
        <w:t>80</w:t>
      </w:r>
      <w:r>
        <w:rPr>
          <w:rFonts w:hint="eastAsia"/>
        </w:rPr>
        <w:t>%、均匀度不应大于1%。</w:t>
      </w:r>
    </w:p>
    <w:p w14:paraId="1C728606">
      <w:pPr>
        <w:pStyle w:val="68"/>
        <w:spacing w:before="156" w:after="156"/>
      </w:pPr>
      <w:bookmarkStart w:id="121" w:name="_Toc505682191"/>
      <w:r>
        <w:rPr>
          <w:rFonts w:hint="eastAsia"/>
        </w:rPr>
        <w:t>测量优选频率</w:t>
      </w:r>
      <w:bookmarkEnd w:id="121"/>
    </w:p>
    <w:p w14:paraId="246EB97C">
      <w:pPr>
        <w:pStyle w:val="59"/>
        <w:ind w:firstLine="420"/>
      </w:pPr>
      <w:r>
        <w:rPr>
          <w:rFonts w:hint="eastAsia"/>
        </w:rPr>
        <w:t>测量优选频率为：20</w:t>
      </w:r>
      <w:r>
        <w:t xml:space="preserve"> </w:t>
      </w:r>
      <w:r>
        <w:rPr>
          <w:rFonts w:hint="eastAsia"/>
        </w:rPr>
        <w:t>Hz、31.5</w:t>
      </w:r>
      <w:r>
        <w:t xml:space="preserve"> </w:t>
      </w:r>
      <w:r>
        <w:rPr>
          <w:rFonts w:hint="eastAsia"/>
        </w:rPr>
        <w:t>Hz、40</w:t>
      </w:r>
      <w:r>
        <w:t xml:space="preserve"> </w:t>
      </w:r>
      <w:r>
        <w:rPr>
          <w:rFonts w:hint="eastAsia"/>
        </w:rPr>
        <w:t>Hz、63</w:t>
      </w:r>
      <w:r>
        <w:t xml:space="preserve"> </w:t>
      </w:r>
      <w:r>
        <w:rPr>
          <w:rFonts w:hint="eastAsia"/>
        </w:rPr>
        <w:t>Hz、80</w:t>
      </w:r>
      <w:r>
        <w:t xml:space="preserve"> </w:t>
      </w:r>
      <w:r>
        <w:rPr>
          <w:rFonts w:hint="eastAsia"/>
        </w:rPr>
        <w:t>Hz、125</w:t>
      </w:r>
      <w:r>
        <w:t xml:space="preserve"> </w:t>
      </w:r>
      <w:r>
        <w:rPr>
          <w:rFonts w:hint="eastAsia"/>
        </w:rPr>
        <w:t>Hz、250</w:t>
      </w:r>
      <w:r>
        <w:t xml:space="preserve"> </w:t>
      </w:r>
      <w:r>
        <w:rPr>
          <w:rFonts w:hint="eastAsia"/>
        </w:rPr>
        <w:t>Hz、500</w:t>
      </w:r>
      <w:r>
        <w:t xml:space="preserve"> </w:t>
      </w:r>
      <w:r>
        <w:rPr>
          <w:rFonts w:hint="eastAsia"/>
        </w:rPr>
        <w:t>Hz、1</w:t>
      </w:r>
      <w:r>
        <w:t xml:space="preserve"> k</w:t>
      </w:r>
      <w:r>
        <w:rPr>
          <w:rFonts w:hint="eastAsia"/>
        </w:rPr>
        <w:t>Hz、2</w:t>
      </w:r>
      <w:r>
        <w:t xml:space="preserve"> k</w:t>
      </w:r>
      <w:r>
        <w:rPr>
          <w:rFonts w:hint="eastAsia"/>
        </w:rPr>
        <w:t>Hz、4</w:t>
      </w:r>
      <w:r>
        <w:t xml:space="preserve"> k</w:t>
      </w:r>
      <w:r>
        <w:rPr>
          <w:rFonts w:hint="eastAsia"/>
        </w:rPr>
        <w:t>Hz、8</w:t>
      </w:r>
      <w:r>
        <w:t xml:space="preserve"> k</w:t>
      </w:r>
      <w:r>
        <w:rPr>
          <w:rFonts w:hint="eastAsia"/>
        </w:rPr>
        <w:t>Hz、10</w:t>
      </w:r>
      <w:r>
        <w:t xml:space="preserve"> k</w:t>
      </w:r>
      <w:r>
        <w:rPr>
          <w:rFonts w:hint="eastAsia"/>
        </w:rPr>
        <w:t>Hz、12.5</w:t>
      </w:r>
      <w:r>
        <w:t xml:space="preserve"> k</w:t>
      </w:r>
      <w:r>
        <w:rPr>
          <w:rFonts w:hint="eastAsia"/>
        </w:rPr>
        <w:t>Hz、16</w:t>
      </w:r>
      <w:r>
        <w:t xml:space="preserve"> k</w:t>
      </w:r>
      <w:r>
        <w:rPr>
          <w:rFonts w:hint="eastAsia"/>
        </w:rPr>
        <w:t>Hz、20</w:t>
      </w:r>
      <w:r>
        <w:t xml:space="preserve"> k</w:t>
      </w:r>
      <w:r>
        <w:rPr>
          <w:rFonts w:hint="eastAsia"/>
        </w:rPr>
        <w:t>Hz。</w:t>
      </w:r>
    </w:p>
    <w:p w14:paraId="13E28AC9">
      <w:pPr>
        <w:pStyle w:val="68"/>
        <w:spacing w:before="156" w:after="156"/>
      </w:pPr>
      <w:r>
        <w:rPr>
          <w:rFonts w:hint="eastAsia"/>
        </w:rPr>
        <w:t>测量信号</w:t>
      </w:r>
    </w:p>
    <w:p w14:paraId="4C22D06B">
      <w:pPr>
        <w:pStyle w:val="59"/>
        <w:ind w:firstLine="420"/>
      </w:pPr>
      <w:r>
        <w:rPr>
          <w:rFonts w:hint="eastAsia"/>
        </w:rPr>
        <w:t>测量信号要求如下：</w:t>
      </w:r>
    </w:p>
    <w:p w14:paraId="4B241EE6">
      <w:pPr>
        <w:pStyle w:val="135"/>
        <w:ind w:left="840" w:leftChars="200" w:hanging="420" w:hangingChars="200"/>
      </w:pPr>
      <w:r>
        <w:rPr>
          <w:rFonts w:hint="eastAsia"/>
        </w:rPr>
        <w:t>AES/EBU声道测量信号：包含16路音频测量信号的数字影院用DCP包；</w:t>
      </w:r>
    </w:p>
    <w:p w14:paraId="2CEEEE66">
      <w:pPr>
        <w:pStyle w:val="135"/>
        <w:ind w:left="840" w:leftChars="200" w:hanging="420" w:hangingChars="200"/>
      </w:pPr>
      <w:bookmarkStart w:id="122" w:name="OLE_LINK17"/>
      <w:r>
        <w:rPr>
          <w:rFonts w:hint="eastAsia"/>
        </w:rPr>
        <w:t>沉浸式音频测量信号</w:t>
      </w:r>
      <w:bookmarkEnd w:id="122"/>
      <w:r>
        <w:rPr>
          <w:rFonts w:hint="eastAsia"/>
        </w:rPr>
        <w:t>：包含声床、对象和对象元数据的沉浸式音频DCP包；</w:t>
      </w:r>
    </w:p>
    <w:p w14:paraId="7FF308A4">
      <w:pPr>
        <w:pStyle w:val="135"/>
        <w:ind w:left="840" w:leftChars="200" w:hanging="420" w:hangingChars="200"/>
      </w:pPr>
      <w:bookmarkStart w:id="123" w:name="_Hlk203393075"/>
      <w:r>
        <w:rPr>
          <w:rFonts w:hint="eastAsia"/>
        </w:rPr>
        <w:t>沉浸式音频7.1声床测量信号</w:t>
      </w:r>
      <w:bookmarkEnd w:id="123"/>
      <w:r>
        <w:rPr>
          <w:rFonts w:hint="eastAsia"/>
        </w:rPr>
        <w:t>：包含8个声床轨道的沉浸式音频DCP包；</w:t>
      </w:r>
    </w:p>
    <w:p w14:paraId="31137C34">
      <w:pPr>
        <w:pStyle w:val="135"/>
        <w:ind w:left="840" w:leftChars="200" w:hanging="420" w:hangingChars="200"/>
      </w:pPr>
      <w:r>
        <w:rPr>
          <w:rFonts w:hint="eastAsia"/>
        </w:rPr>
        <w:t>沉浸式音频9.1声床测量信号：包含10个声床轨道的沉浸式音频DCP包；</w:t>
      </w:r>
    </w:p>
    <w:p w14:paraId="4435F896">
      <w:pPr>
        <w:pStyle w:val="135"/>
        <w:ind w:left="840" w:leftChars="200" w:hanging="420" w:hangingChars="200"/>
      </w:pPr>
      <w:r>
        <w:rPr>
          <w:rFonts w:hint="eastAsia"/>
        </w:rPr>
        <w:t>沉浸式音频118个对象测量信号：包含118个对象和对象元数据的沉浸式音频DCP包；</w:t>
      </w:r>
    </w:p>
    <w:p w14:paraId="2DE8CC46">
      <w:pPr>
        <w:pStyle w:val="135"/>
        <w:ind w:left="840" w:leftChars="200" w:hanging="420" w:hangingChars="200"/>
      </w:pPr>
      <w:r>
        <w:rPr>
          <w:rFonts w:hint="eastAsia"/>
        </w:rPr>
        <w:t>沉浸式音频对象位置元数据测量信号：包含不同对象位置元数据的沉浸式音频DCP包；</w:t>
      </w:r>
    </w:p>
    <w:p w14:paraId="4EAA6A4E">
      <w:pPr>
        <w:pStyle w:val="135"/>
        <w:ind w:left="840" w:leftChars="200" w:hanging="420" w:hangingChars="200"/>
      </w:pPr>
      <w:r>
        <w:rPr>
          <w:rFonts w:hint="eastAsia"/>
        </w:rPr>
        <w:t>沉浸式音频对象增益元数据测量信号：包含从小到大对象增益元数据的沉浸式音频DCP包；</w:t>
      </w:r>
    </w:p>
    <w:p w14:paraId="3193C21E">
      <w:pPr>
        <w:pStyle w:val="135"/>
        <w:ind w:left="840" w:leftChars="200" w:hanging="420" w:hangingChars="200"/>
      </w:pPr>
      <w:r>
        <w:rPr>
          <w:rFonts w:hint="eastAsia"/>
        </w:rPr>
        <w:t>声床通道延时测量信号：包含10个声床通道延时信号的沉浸式音频DCP包。</w:t>
      </w:r>
    </w:p>
    <w:p w14:paraId="15FA4EF4">
      <w:pPr>
        <w:pStyle w:val="68"/>
        <w:spacing w:before="156" w:after="156"/>
      </w:pPr>
      <w:r>
        <w:rPr>
          <w:rFonts w:hint="eastAsia"/>
        </w:rPr>
        <w:t>测量人员</w:t>
      </w:r>
    </w:p>
    <w:p w14:paraId="22C4BF30">
      <w:pPr>
        <w:pStyle w:val="59"/>
        <w:ind w:firstLine="420"/>
      </w:pPr>
      <w:r>
        <w:rPr>
          <w:rFonts w:hint="eastAsia"/>
        </w:rPr>
        <w:t>测量人员应具备正常的听力条件，并且两耳听力基本一致。</w:t>
      </w:r>
    </w:p>
    <w:p w14:paraId="0C060385">
      <w:pPr>
        <w:pStyle w:val="68"/>
        <w:spacing w:before="156" w:after="156"/>
      </w:pPr>
      <w:r>
        <w:rPr>
          <w:rFonts w:hint="eastAsia"/>
        </w:rPr>
        <w:t>测量状态</w:t>
      </w:r>
    </w:p>
    <w:p w14:paraId="6F38D95D">
      <w:pPr>
        <w:pStyle w:val="59"/>
        <w:ind w:firstLine="420"/>
      </w:pPr>
      <w:r>
        <w:rPr>
          <w:rFonts w:hint="eastAsia"/>
        </w:rPr>
        <w:t>测量状态要求如下：</w:t>
      </w:r>
    </w:p>
    <w:p w14:paraId="53E337F3">
      <w:pPr>
        <w:pStyle w:val="135"/>
        <w:ind w:left="840" w:leftChars="200" w:hanging="420" w:hangingChars="200"/>
      </w:pPr>
      <w:r>
        <w:rPr>
          <w:rFonts w:hint="eastAsia"/>
        </w:rPr>
        <w:t>数字影院沉浸式音频处理器正常开机，待其进入正常稳定工作状态后，方可进行测量；</w:t>
      </w:r>
    </w:p>
    <w:p w14:paraId="40FC6250">
      <w:pPr>
        <w:pStyle w:val="135"/>
        <w:ind w:left="840" w:leftChars="200" w:hanging="420" w:hangingChars="200"/>
      </w:pPr>
      <w:r>
        <w:rPr>
          <w:rFonts w:hint="eastAsia"/>
        </w:rPr>
        <w:t>数字影院沉浸式音频处理器各通道的声相调整、压限处理、延迟、均衡控制等功能处于关闭或旁通状态；</w:t>
      </w:r>
    </w:p>
    <w:p w14:paraId="619DA142">
      <w:pPr>
        <w:pStyle w:val="135"/>
        <w:ind w:left="840" w:leftChars="200" w:hanging="420" w:hangingChars="200"/>
      </w:pPr>
      <w:r>
        <w:rPr>
          <w:rFonts w:hint="eastAsia"/>
        </w:rPr>
        <w:t>选取AES/EBU接口（应符合GY/T 158—2000，XLR平衡接口）为测量输入接口；</w:t>
      </w:r>
    </w:p>
    <w:p w14:paraId="50D81E68">
      <w:pPr>
        <w:pStyle w:val="135"/>
        <w:ind w:left="840" w:leftChars="200" w:hanging="420" w:hangingChars="200"/>
      </w:pPr>
      <w:r>
        <w:rPr>
          <w:rFonts w:hint="eastAsia"/>
        </w:rPr>
        <w:t>选取模拟音频信号接口（XLR平衡接口）为测量输出接口；</w:t>
      </w:r>
    </w:p>
    <w:p w14:paraId="32642F34">
      <w:pPr>
        <w:pStyle w:val="135"/>
        <w:ind w:left="840" w:leftChars="200" w:hanging="420" w:hangingChars="200"/>
      </w:pPr>
      <w:r>
        <w:rPr>
          <w:rFonts w:hint="eastAsia"/>
        </w:rPr>
        <w:t>在测量时选取电平值为0</w:t>
      </w:r>
      <w:r>
        <w:t xml:space="preserve"> </w:t>
      </w:r>
      <w:r>
        <w:rPr>
          <w:rFonts w:hint="eastAsia"/>
        </w:rPr>
        <w:t>dBFS=24</w:t>
      </w:r>
      <w:r>
        <w:t xml:space="preserve"> </w:t>
      </w:r>
      <w:r>
        <w:rPr>
          <w:rFonts w:hint="eastAsia"/>
        </w:rPr>
        <w:t>dBu为满度测量电平，-20 dBFS为基准测量电平；</w:t>
      </w:r>
    </w:p>
    <w:p w14:paraId="5D178AC5">
      <w:pPr>
        <w:pStyle w:val="135"/>
        <w:ind w:left="840" w:leftChars="200" w:hanging="420" w:hangingChars="200"/>
      </w:pPr>
      <w:r>
        <w:rPr>
          <w:rFonts w:hint="eastAsia"/>
        </w:rPr>
        <w:t>数字输入端输入基准测量电平，调节电平控制器，使输出端电平为+4</w:t>
      </w:r>
      <w:r>
        <w:t xml:space="preserve"> </w:t>
      </w:r>
      <w:r>
        <w:rPr>
          <w:rFonts w:hint="eastAsia"/>
        </w:rPr>
        <w:t>dBu,如果输出电平达不到要求，电平应调节到最大值，此状态为标准测量状态；</w:t>
      </w:r>
    </w:p>
    <w:p w14:paraId="1BB675C6">
      <w:pPr>
        <w:pStyle w:val="135"/>
        <w:ind w:left="840" w:leftChars="200" w:hanging="420" w:hangingChars="200"/>
      </w:pPr>
      <w:r>
        <w:rPr>
          <w:rFonts w:hint="eastAsia"/>
        </w:rPr>
        <w:t>对于数字域的测量，信号测试仪的输入阻抗、信号发生器的输出阻抗设置为平衡110</w:t>
      </w:r>
      <w:r>
        <w:t xml:space="preserve"> </w:t>
      </w:r>
      <w:r>
        <w:rPr>
          <w:rFonts w:hint="eastAsia"/>
        </w:rPr>
        <w:t>Ω。</w:t>
      </w:r>
    </w:p>
    <w:p w14:paraId="322E0173">
      <w:pPr>
        <w:pStyle w:val="108"/>
        <w:spacing w:before="156" w:after="156"/>
      </w:pPr>
      <w:bookmarkStart w:id="124" w:name="_Toc8261"/>
      <w:bookmarkStart w:id="125" w:name="_Toc510956804"/>
      <w:bookmarkStart w:id="126" w:name="_Toc203577738"/>
      <w:bookmarkStart w:id="127" w:name="_Toc505682193"/>
      <w:bookmarkStart w:id="128" w:name="_Toc54597430"/>
      <w:r>
        <w:rPr>
          <w:rFonts w:hint="eastAsia"/>
        </w:rPr>
        <w:t>测量步骤</w:t>
      </w:r>
      <w:bookmarkEnd w:id="124"/>
    </w:p>
    <w:p w14:paraId="7B1E9DE2">
      <w:pPr>
        <w:pStyle w:val="68"/>
        <w:spacing w:before="156" w:after="156"/>
      </w:pPr>
      <w:r>
        <w:rPr>
          <w:rFonts w:hint="eastAsia"/>
        </w:rPr>
        <w:t>基本功能</w:t>
      </w:r>
      <w:bookmarkEnd w:id="125"/>
      <w:bookmarkEnd w:id="126"/>
      <w:bookmarkEnd w:id="127"/>
      <w:bookmarkEnd w:id="128"/>
    </w:p>
    <w:p w14:paraId="6F1BD9B0">
      <w:pPr>
        <w:pStyle w:val="97"/>
        <w:spacing w:before="156" w:after="156"/>
      </w:pPr>
      <w:r>
        <w:rPr>
          <w:rFonts w:hint="eastAsia"/>
        </w:rPr>
        <w:t>信号发生</w:t>
      </w:r>
    </w:p>
    <w:p w14:paraId="7CA0A1D6">
      <w:pPr>
        <w:pStyle w:val="59"/>
        <w:ind w:firstLine="420"/>
      </w:pPr>
      <w:r>
        <w:rPr>
          <w:rFonts w:hint="eastAsia"/>
        </w:rPr>
        <w:t>信号发生功能的测量步骤如下：</w:t>
      </w:r>
    </w:p>
    <w:p w14:paraId="37364A8D">
      <w:pPr>
        <w:pStyle w:val="177"/>
      </w:pPr>
      <w:r>
        <w:rPr>
          <w:rFonts w:hint="eastAsia"/>
        </w:rPr>
        <w:t>被测设备置于标准测量状态；</w:t>
      </w:r>
    </w:p>
    <w:p w14:paraId="3388BBAF">
      <w:pPr>
        <w:pStyle w:val="177"/>
      </w:pPr>
      <w:bookmarkStart w:id="129" w:name="OLE_LINK27"/>
      <w:bookmarkStart w:id="130" w:name="OLE_LINK13"/>
      <w:r>
        <w:rPr>
          <w:rFonts w:hint="eastAsia"/>
        </w:rPr>
        <w:t>被测设备信号发生器</w:t>
      </w:r>
      <w:bookmarkStart w:id="131" w:name="OLE_LINK12"/>
      <w:r>
        <w:rPr>
          <w:rFonts w:hint="eastAsia"/>
        </w:rPr>
        <w:t>依次</w:t>
      </w:r>
      <w:bookmarkEnd w:id="129"/>
      <w:r>
        <w:rPr>
          <w:rFonts w:hint="eastAsia"/>
        </w:rPr>
        <w:t>向各输出通道播放粉红噪声信号，核查是否能够正常</w:t>
      </w:r>
      <w:bookmarkEnd w:id="131"/>
      <w:r>
        <w:rPr>
          <w:rFonts w:hint="eastAsia"/>
        </w:rPr>
        <w:t>工作；</w:t>
      </w:r>
    </w:p>
    <w:bookmarkEnd w:id="130"/>
    <w:p w14:paraId="20801EB9">
      <w:pPr>
        <w:pStyle w:val="177"/>
      </w:pPr>
      <w:r>
        <w:rPr>
          <w:rFonts w:hint="eastAsia"/>
        </w:rPr>
        <w:t>被测设备信号发生器依次向各输出通道播放正弦波信号，核查是否能够正常工作。</w:t>
      </w:r>
    </w:p>
    <w:p w14:paraId="3BC81158">
      <w:pPr>
        <w:pStyle w:val="97"/>
        <w:spacing w:before="156" w:after="156"/>
      </w:pPr>
      <w:r>
        <w:rPr>
          <w:rFonts w:hint="eastAsia"/>
        </w:rPr>
        <w:t>输入接口</w:t>
      </w:r>
    </w:p>
    <w:p w14:paraId="5DBB3CB6">
      <w:pPr>
        <w:pStyle w:val="59"/>
        <w:ind w:firstLine="420"/>
      </w:pPr>
      <w:r>
        <w:rPr>
          <w:rFonts w:hint="eastAsia"/>
        </w:rPr>
        <w:t>输入接口的测量步骤如下：</w:t>
      </w:r>
    </w:p>
    <w:p w14:paraId="657C48FC">
      <w:pPr>
        <w:pStyle w:val="177"/>
        <w:numPr>
          <w:ilvl w:val="0"/>
          <w:numId w:val="36"/>
        </w:numPr>
      </w:pPr>
      <w:r>
        <w:rPr>
          <w:rFonts w:hint="eastAsia"/>
        </w:rPr>
        <w:t>被测设备置于标准测量状态；</w:t>
      </w:r>
    </w:p>
    <w:p w14:paraId="59B386FD">
      <w:pPr>
        <w:pStyle w:val="177"/>
        <w:numPr>
          <w:ilvl w:val="0"/>
          <w:numId w:val="36"/>
        </w:numPr>
      </w:pPr>
      <w:r>
        <w:rPr>
          <w:rFonts w:hint="eastAsia"/>
        </w:rPr>
        <w:t>数字影院集成媒体模块</w:t>
      </w:r>
      <w:r>
        <w:t>AES/EBU</w:t>
      </w:r>
      <w:r>
        <w:rPr>
          <w:rFonts w:hint="eastAsia"/>
        </w:rPr>
        <w:t>输出接口与被测设备</w:t>
      </w:r>
      <w:r>
        <w:t>AES/EBU</w:t>
      </w:r>
      <w:r>
        <w:rPr>
          <w:rFonts w:hint="eastAsia"/>
        </w:rPr>
        <w:t>输入接口正常</w:t>
      </w:r>
      <w:bookmarkStart w:id="132" w:name="OLE_LINK14"/>
      <w:r>
        <w:rPr>
          <w:rFonts w:hint="eastAsia"/>
        </w:rPr>
        <w:t>连接</w:t>
      </w:r>
      <w:bookmarkEnd w:id="132"/>
      <w:r>
        <w:rPr>
          <w:rFonts w:hint="eastAsia"/>
        </w:rPr>
        <w:t>；</w:t>
      </w:r>
    </w:p>
    <w:p w14:paraId="0912E41F">
      <w:pPr>
        <w:pStyle w:val="177"/>
      </w:pPr>
      <w:r>
        <w:rPr>
          <w:rFonts w:hint="eastAsia"/>
        </w:rPr>
        <w:t>数字影院集成媒体模块沉浸式音频输出接口与被测设备沉浸式音频输入接口正常连接；</w:t>
      </w:r>
    </w:p>
    <w:p w14:paraId="2D384C8D">
      <w:pPr>
        <w:pStyle w:val="177"/>
      </w:pPr>
      <w:r>
        <w:rPr>
          <w:rFonts w:hint="eastAsia"/>
        </w:rPr>
        <w:t>数字影院集成媒体模块与沉浸式音频处理器之间的通信，使用HTTP传输协议配置，核查被测设备是否能够正常通信；</w:t>
      </w:r>
    </w:p>
    <w:p w14:paraId="43CFEAF4">
      <w:pPr>
        <w:pStyle w:val="177"/>
      </w:pPr>
      <w:r>
        <w:rPr>
          <w:rFonts w:hint="eastAsia"/>
        </w:rPr>
        <w:t>数字影院集成媒体模块播放AES/EBU声道测量信号，核查被测设备各通道顺序是否正确，各通道是否能够正常稳定工作；</w:t>
      </w:r>
    </w:p>
    <w:p w14:paraId="6385AB03">
      <w:pPr>
        <w:pStyle w:val="177"/>
      </w:pPr>
      <w:r>
        <w:rPr>
          <w:rFonts w:hint="eastAsia"/>
        </w:rPr>
        <w:t>数字影院集成媒体模块播放沉浸式音频测量信号，核查</w:t>
      </w:r>
      <w:bookmarkStart w:id="133" w:name="OLE_LINK18"/>
      <w:r>
        <w:rPr>
          <w:rFonts w:hint="eastAsia"/>
        </w:rPr>
        <w:t>被测设备是否能够正常稳定工作。</w:t>
      </w:r>
      <w:bookmarkEnd w:id="133"/>
    </w:p>
    <w:p w14:paraId="58CFAEDE">
      <w:pPr>
        <w:pStyle w:val="97"/>
        <w:spacing w:before="156" w:after="156"/>
      </w:pPr>
      <w:r>
        <w:rPr>
          <w:rFonts w:hint="eastAsia"/>
        </w:rPr>
        <w:t>输出接口</w:t>
      </w:r>
    </w:p>
    <w:p w14:paraId="007696D5">
      <w:pPr>
        <w:pStyle w:val="59"/>
        <w:ind w:firstLine="420"/>
      </w:pPr>
      <w:r>
        <w:rPr>
          <w:rFonts w:hint="eastAsia"/>
        </w:rPr>
        <w:t>输出接口测量步骤如下：</w:t>
      </w:r>
    </w:p>
    <w:p w14:paraId="59D82794">
      <w:pPr>
        <w:pStyle w:val="177"/>
        <w:numPr>
          <w:ilvl w:val="0"/>
          <w:numId w:val="37"/>
        </w:numPr>
      </w:pPr>
      <w:r>
        <w:rPr>
          <w:rFonts w:hint="eastAsia"/>
        </w:rPr>
        <w:t>被测设备置于标准测量状态；</w:t>
      </w:r>
    </w:p>
    <w:p w14:paraId="08BD36B4">
      <w:pPr>
        <w:pStyle w:val="177"/>
        <w:numPr>
          <w:ilvl w:val="0"/>
          <w:numId w:val="37"/>
        </w:numPr>
      </w:pPr>
      <w:r>
        <w:rPr>
          <w:rFonts w:hint="eastAsia"/>
        </w:rPr>
        <w:t>被测设备信号发生器依次向各输出通道播放粉红噪声信号，核查被测设备是否能够正常</w:t>
      </w:r>
      <w:bookmarkStart w:id="134" w:name="OLE_LINK29"/>
      <w:r>
        <w:rPr>
          <w:rFonts w:hint="eastAsia"/>
        </w:rPr>
        <w:t>工作</w:t>
      </w:r>
      <w:bookmarkEnd w:id="134"/>
      <w:r>
        <w:rPr>
          <w:rFonts w:hint="eastAsia"/>
        </w:rPr>
        <w:t>；</w:t>
      </w:r>
    </w:p>
    <w:p w14:paraId="0F12F503">
      <w:pPr>
        <w:pStyle w:val="177"/>
        <w:numPr>
          <w:ilvl w:val="0"/>
          <w:numId w:val="37"/>
        </w:numPr>
      </w:pPr>
      <w:r>
        <w:rPr>
          <w:rFonts w:hint="eastAsia"/>
        </w:rPr>
        <w:t>记录能够正常发生的通道数；</w:t>
      </w:r>
    </w:p>
    <w:p w14:paraId="089A3EA6">
      <w:pPr>
        <w:pStyle w:val="177"/>
        <w:numPr>
          <w:ilvl w:val="0"/>
          <w:numId w:val="37"/>
        </w:numPr>
      </w:pPr>
      <w:bookmarkStart w:id="135" w:name="OLE_LINK21"/>
      <w:r>
        <w:rPr>
          <w:rFonts w:hint="eastAsia"/>
        </w:rPr>
        <w:t>被测设备AES/EBU数字音频接口任一输入端输入频率为20</w:t>
      </w:r>
      <w:r>
        <w:t xml:space="preserve"> </w:t>
      </w:r>
      <w:r>
        <w:rPr>
          <w:rFonts w:hint="eastAsia"/>
        </w:rPr>
        <w:t>Hz～20</w:t>
      </w:r>
      <w:r>
        <w:t xml:space="preserve"> k</w:t>
      </w:r>
      <w:r>
        <w:rPr>
          <w:rFonts w:hint="eastAsia"/>
        </w:rPr>
        <w:t>Hz、基准测量电平的正弦波测量信号；</w:t>
      </w:r>
    </w:p>
    <w:p w14:paraId="5537B376">
      <w:pPr>
        <w:pStyle w:val="177"/>
        <w:numPr>
          <w:ilvl w:val="0"/>
          <w:numId w:val="37"/>
        </w:numPr>
      </w:pPr>
      <w:r>
        <w:rPr>
          <w:rFonts w:hint="eastAsia"/>
        </w:rPr>
        <w:t>将该输入通道信号依次路由到全部输出通道，核查被测设备是否能够正常工作；</w:t>
      </w:r>
    </w:p>
    <w:bookmarkEnd w:id="135"/>
    <w:p w14:paraId="5C81C135">
      <w:pPr>
        <w:pStyle w:val="177"/>
        <w:numPr>
          <w:ilvl w:val="0"/>
          <w:numId w:val="37"/>
        </w:numPr>
      </w:pPr>
      <w:r>
        <w:rPr>
          <w:rFonts w:hint="eastAsia"/>
        </w:rPr>
        <w:t>音频信号测试仪向被测设备非同步信号输入接口输入频率为20</w:t>
      </w:r>
      <w:r>
        <w:t xml:space="preserve"> </w:t>
      </w:r>
      <w:r>
        <w:rPr>
          <w:rFonts w:hint="eastAsia"/>
        </w:rPr>
        <w:t>Hz～20</w:t>
      </w:r>
      <w:r>
        <w:t xml:space="preserve"> k</w:t>
      </w:r>
      <w:r>
        <w:rPr>
          <w:rFonts w:hint="eastAsia"/>
        </w:rPr>
        <w:t>Hz、基准测量电平的正弦波测量信号，核查非同步音频输出接口是否能够正常工作。</w:t>
      </w:r>
    </w:p>
    <w:p w14:paraId="0006B393">
      <w:pPr>
        <w:pStyle w:val="97"/>
        <w:spacing w:before="156" w:after="156"/>
      </w:pPr>
      <w:r>
        <w:rPr>
          <w:rFonts w:hint="eastAsia"/>
        </w:rPr>
        <w:t>解码</w:t>
      </w:r>
    </w:p>
    <w:p w14:paraId="160E58AD">
      <w:pPr>
        <w:pStyle w:val="59"/>
        <w:ind w:firstLine="420"/>
      </w:pPr>
      <w:r>
        <w:rPr>
          <w:rFonts w:hint="eastAsia"/>
        </w:rPr>
        <w:t>解码测量步骤如下：</w:t>
      </w:r>
    </w:p>
    <w:p w14:paraId="10B2D961">
      <w:pPr>
        <w:pStyle w:val="177"/>
        <w:numPr>
          <w:ilvl w:val="0"/>
          <w:numId w:val="38"/>
        </w:numPr>
      </w:pPr>
      <w:r>
        <w:rPr>
          <w:rFonts w:hint="eastAsia"/>
        </w:rPr>
        <w:t>被测设备置于标准测量状态；</w:t>
      </w:r>
    </w:p>
    <w:p w14:paraId="19E379A8">
      <w:pPr>
        <w:pStyle w:val="177"/>
        <w:numPr>
          <w:ilvl w:val="0"/>
          <w:numId w:val="38"/>
        </w:numPr>
      </w:pPr>
      <w:r>
        <w:rPr>
          <w:rFonts w:hint="eastAsia"/>
        </w:rPr>
        <w:t>数字影院集成媒体模块</w:t>
      </w:r>
      <w:r>
        <w:t>AES/EBU</w:t>
      </w:r>
      <w:r>
        <w:rPr>
          <w:rFonts w:hint="eastAsia"/>
        </w:rPr>
        <w:t>输出接口与被测设备</w:t>
      </w:r>
      <w:r>
        <w:t>AES/EBU</w:t>
      </w:r>
      <w:r>
        <w:rPr>
          <w:rFonts w:hint="eastAsia"/>
        </w:rPr>
        <w:t>输入接口正常连接；</w:t>
      </w:r>
    </w:p>
    <w:p w14:paraId="1E57D128">
      <w:pPr>
        <w:pStyle w:val="177"/>
        <w:numPr>
          <w:ilvl w:val="0"/>
          <w:numId w:val="38"/>
        </w:numPr>
      </w:pPr>
      <w:r>
        <w:rPr>
          <w:rFonts w:hint="eastAsia"/>
        </w:rPr>
        <w:t>数字影院集成媒体模块沉浸式音频输出接口与</w:t>
      </w:r>
      <w:bookmarkStart w:id="136" w:name="OLE_LINK15"/>
      <w:r>
        <w:rPr>
          <w:rFonts w:hint="eastAsia"/>
        </w:rPr>
        <w:t>被测设备</w:t>
      </w:r>
      <w:bookmarkEnd w:id="136"/>
      <w:r>
        <w:rPr>
          <w:rFonts w:hint="eastAsia"/>
        </w:rPr>
        <w:t>沉浸式音频输入接口正常连接；</w:t>
      </w:r>
    </w:p>
    <w:p w14:paraId="4A42790B">
      <w:pPr>
        <w:pStyle w:val="177"/>
        <w:numPr>
          <w:ilvl w:val="0"/>
          <w:numId w:val="38"/>
        </w:numPr>
      </w:pPr>
      <w:r>
        <w:rPr>
          <w:rFonts w:hint="eastAsia"/>
        </w:rPr>
        <w:t>被测设备与还音系统正常连接，集成媒体模块播放沉浸式音频测量信号；</w:t>
      </w:r>
    </w:p>
    <w:p w14:paraId="60570E8E">
      <w:pPr>
        <w:pStyle w:val="177"/>
        <w:numPr>
          <w:ilvl w:val="0"/>
          <w:numId w:val="38"/>
        </w:numPr>
        <w:rPr>
          <w:kern w:val="2"/>
          <w:szCs w:val="21"/>
        </w:rPr>
      </w:pPr>
      <w:r>
        <w:rPr>
          <w:rFonts w:hint="eastAsia" w:hAnsi="宋体"/>
        </w:rPr>
        <w:t>测量人员在距离银幕（或LED放映屏）为影厅长度为</w:t>
      </w:r>
      <w:r>
        <w:rPr>
          <w:rFonts w:hint="eastAsia" w:cs="Calibri"/>
        </w:rPr>
        <w:t>2/3</w:t>
      </w:r>
      <w:r>
        <w:rPr>
          <w:rFonts w:hint="eastAsia" w:hAnsi="宋体"/>
        </w:rPr>
        <w:t>处，偏离影厅中间</w:t>
      </w:r>
      <w:r>
        <w:rPr>
          <w:rFonts w:hint="eastAsia" w:cs="Calibri"/>
        </w:rPr>
        <w:t>1</w:t>
      </w:r>
      <w:r>
        <w:rPr>
          <w:rFonts w:hint="eastAsia" w:hAnsi="宋体"/>
        </w:rPr>
        <w:t>个座位区位置处</w:t>
      </w:r>
      <w:r>
        <w:rPr>
          <w:rFonts w:hint="eastAsia"/>
        </w:rPr>
        <w:t>，核查被测设备是否能正确解码和同步信号解析。</w:t>
      </w:r>
    </w:p>
    <w:p w14:paraId="66A7903A">
      <w:pPr>
        <w:pStyle w:val="97"/>
        <w:spacing w:before="156" w:after="156"/>
      </w:pPr>
      <w:r>
        <w:rPr>
          <w:rFonts w:hint="eastAsia"/>
        </w:rPr>
        <w:t>渲染</w:t>
      </w:r>
    </w:p>
    <w:p w14:paraId="140F883F">
      <w:pPr>
        <w:pStyle w:val="59"/>
        <w:ind w:firstLine="420"/>
      </w:pPr>
      <w:r>
        <w:rPr>
          <w:rFonts w:hint="eastAsia"/>
        </w:rPr>
        <w:t>渲染测量步骤如下：</w:t>
      </w:r>
    </w:p>
    <w:p w14:paraId="10D686E9">
      <w:pPr>
        <w:pStyle w:val="177"/>
        <w:numPr>
          <w:ilvl w:val="0"/>
          <w:numId w:val="39"/>
        </w:numPr>
      </w:pPr>
      <w:r>
        <w:rPr>
          <w:rFonts w:hint="eastAsia"/>
        </w:rPr>
        <w:t>被测设备置于标准测量状态；</w:t>
      </w:r>
    </w:p>
    <w:p w14:paraId="386C8A06">
      <w:pPr>
        <w:pStyle w:val="177"/>
        <w:numPr>
          <w:ilvl w:val="0"/>
          <w:numId w:val="39"/>
        </w:numPr>
      </w:pPr>
      <w:bookmarkStart w:id="137" w:name="OLE_LINK30"/>
      <w:r>
        <w:rPr>
          <w:rFonts w:hint="eastAsia"/>
        </w:rPr>
        <w:t>数字影院集成媒体模块</w:t>
      </w:r>
      <w:bookmarkEnd w:id="137"/>
      <w:r>
        <w:t>AES/EBU</w:t>
      </w:r>
      <w:r>
        <w:rPr>
          <w:rFonts w:hint="eastAsia"/>
        </w:rPr>
        <w:t>输出接口与被测设备</w:t>
      </w:r>
      <w:r>
        <w:t>AES/EBU</w:t>
      </w:r>
      <w:r>
        <w:rPr>
          <w:rFonts w:hint="eastAsia"/>
        </w:rPr>
        <w:t>输入接口正常连接；</w:t>
      </w:r>
    </w:p>
    <w:p w14:paraId="432A9E8B">
      <w:pPr>
        <w:pStyle w:val="177"/>
        <w:numPr>
          <w:ilvl w:val="0"/>
          <w:numId w:val="39"/>
        </w:numPr>
      </w:pPr>
      <w:r>
        <w:rPr>
          <w:rFonts w:hint="eastAsia"/>
        </w:rPr>
        <w:t>数字影院集成媒体模块沉浸式音频输出接口与被测设备沉浸式音频输入接口正常连接；</w:t>
      </w:r>
    </w:p>
    <w:p w14:paraId="11813C27">
      <w:pPr>
        <w:pStyle w:val="177"/>
        <w:numPr>
          <w:ilvl w:val="0"/>
          <w:numId w:val="39"/>
        </w:numPr>
      </w:pPr>
      <w:r>
        <w:rPr>
          <w:rFonts w:hint="eastAsia"/>
        </w:rPr>
        <w:t>被测设备与还音系统正常连接，</w:t>
      </w:r>
      <w:bookmarkStart w:id="138" w:name="OLE_LINK9"/>
      <w:r>
        <w:rPr>
          <w:rFonts w:hint="eastAsia"/>
        </w:rPr>
        <w:t>测量人员坐在距离银幕（或LED放映屏）为影厅长度为2/3处，偏离影厅中间1个座位区位置处。</w:t>
      </w:r>
    </w:p>
    <w:bookmarkEnd w:id="138"/>
    <w:p w14:paraId="60D7F00D">
      <w:pPr>
        <w:pStyle w:val="177"/>
        <w:numPr>
          <w:ilvl w:val="0"/>
          <w:numId w:val="39"/>
        </w:numPr>
      </w:pPr>
      <w:r>
        <w:rPr>
          <w:rFonts w:hint="eastAsia"/>
        </w:rPr>
        <w:t>数字影院集成媒体模块播放沉浸式音频7.1声床测量信号，核查被测设备声床输出轨道顺序是否正确；</w:t>
      </w:r>
    </w:p>
    <w:p w14:paraId="12884896">
      <w:pPr>
        <w:pStyle w:val="177"/>
        <w:numPr>
          <w:ilvl w:val="0"/>
          <w:numId w:val="39"/>
        </w:numPr>
      </w:pPr>
      <w:r>
        <w:rPr>
          <w:rFonts w:hint="eastAsia"/>
        </w:rPr>
        <w:t>数字影院集成媒体模块播放沉浸式音频9.1声床测量信号，核查被测设备声床输出轨道顺序是否正确；</w:t>
      </w:r>
    </w:p>
    <w:p w14:paraId="18986A1F">
      <w:pPr>
        <w:pStyle w:val="177"/>
        <w:numPr>
          <w:ilvl w:val="0"/>
          <w:numId w:val="39"/>
        </w:numPr>
      </w:pPr>
      <w:r>
        <w:rPr>
          <w:rFonts w:hint="eastAsia"/>
        </w:rPr>
        <w:t>数字影院集成媒体模块播放沉浸式音频对象元数据位置测量信号，核查被测设备对象位置渲染是否正确；</w:t>
      </w:r>
    </w:p>
    <w:p w14:paraId="601B3ECB">
      <w:pPr>
        <w:pStyle w:val="177"/>
        <w:numPr>
          <w:ilvl w:val="0"/>
          <w:numId w:val="39"/>
        </w:numPr>
      </w:pPr>
      <w:r>
        <w:rPr>
          <w:rFonts w:hint="eastAsia"/>
        </w:rPr>
        <w:t>数字影院集成媒体模块播放沉浸式音频对象增益元数据测量信号，核查被测设备对象增益渲染是否正确。</w:t>
      </w:r>
    </w:p>
    <w:p w14:paraId="37985B7B">
      <w:pPr>
        <w:pStyle w:val="97"/>
        <w:spacing w:before="156" w:after="156"/>
      </w:pPr>
      <w:r>
        <w:rPr>
          <w:rFonts w:hint="eastAsia"/>
        </w:rPr>
        <w:t>渲染输出通道</w:t>
      </w:r>
    </w:p>
    <w:p w14:paraId="16BC9AC4">
      <w:pPr>
        <w:pStyle w:val="59"/>
        <w:ind w:firstLine="420"/>
      </w:pPr>
      <w:r>
        <w:rPr>
          <w:rFonts w:hint="eastAsia"/>
        </w:rPr>
        <w:t>渲染输出通道测量步骤如下：</w:t>
      </w:r>
    </w:p>
    <w:p w14:paraId="04DB479A">
      <w:pPr>
        <w:pStyle w:val="177"/>
        <w:numPr>
          <w:ilvl w:val="0"/>
          <w:numId w:val="40"/>
        </w:numPr>
      </w:pPr>
      <w:r>
        <w:rPr>
          <w:rFonts w:hint="eastAsia"/>
        </w:rPr>
        <w:t>被测设备置于标准测量状态；</w:t>
      </w:r>
    </w:p>
    <w:p w14:paraId="750DF7FA">
      <w:pPr>
        <w:pStyle w:val="177"/>
        <w:numPr>
          <w:ilvl w:val="0"/>
          <w:numId w:val="40"/>
        </w:numPr>
      </w:pPr>
      <w:r>
        <w:rPr>
          <w:rFonts w:hint="eastAsia"/>
        </w:rPr>
        <w:t>被测设备依次向各输出通道播放正弦波测量信号，调节相应通道的增益调节按钮；</w:t>
      </w:r>
    </w:p>
    <w:p w14:paraId="44C65331">
      <w:pPr>
        <w:pStyle w:val="177"/>
        <w:numPr>
          <w:ilvl w:val="0"/>
          <w:numId w:val="40"/>
        </w:numPr>
      </w:pPr>
      <w:r>
        <w:rPr>
          <w:rFonts w:hint="eastAsia"/>
        </w:rPr>
        <w:t>使用音频信号测试仪，</w:t>
      </w:r>
      <w:bookmarkStart w:id="139" w:name="OLE_LINK19"/>
      <w:r>
        <w:rPr>
          <w:rFonts w:hint="eastAsia"/>
        </w:rPr>
        <w:t>核查被测设备各通道增益变化情况；</w:t>
      </w:r>
      <w:bookmarkEnd w:id="139"/>
    </w:p>
    <w:p w14:paraId="689D5FA7">
      <w:pPr>
        <w:pStyle w:val="177"/>
        <w:numPr>
          <w:ilvl w:val="0"/>
          <w:numId w:val="40"/>
        </w:numPr>
      </w:pPr>
      <w:bookmarkStart w:id="140" w:name="OLE_LINK20"/>
      <w:r>
        <w:rPr>
          <w:rFonts w:hint="eastAsia"/>
        </w:rPr>
        <w:t>被测设备依次向各输出通道播放粉红噪声信号，调节相应通道的1/3倍频程均衡调节按钮；</w:t>
      </w:r>
    </w:p>
    <w:bookmarkEnd w:id="140"/>
    <w:p w14:paraId="6FD21EA4">
      <w:pPr>
        <w:pStyle w:val="177"/>
        <w:numPr>
          <w:ilvl w:val="0"/>
          <w:numId w:val="40"/>
        </w:numPr>
      </w:pPr>
      <w:r>
        <w:rPr>
          <w:rFonts w:hint="eastAsia"/>
        </w:rPr>
        <w:t>核查被测设备各通道相应倍频程增益调节变化情况；</w:t>
      </w:r>
    </w:p>
    <w:p w14:paraId="4A473F30">
      <w:pPr>
        <w:pStyle w:val="177"/>
        <w:numPr>
          <w:ilvl w:val="0"/>
          <w:numId w:val="40"/>
        </w:numPr>
      </w:pPr>
      <w:r>
        <w:rPr>
          <w:rFonts w:hint="eastAsia"/>
        </w:rPr>
        <w:t>数字影院集成媒体模块</w:t>
      </w:r>
      <w:r>
        <w:t>AES/EBU</w:t>
      </w:r>
      <w:r>
        <w:rPr>
          <w:rFonts w:hint="eastAsia"/>
        </w:rPr>
        <w:t>输出接口与被测设备</w:t>
      </w:r>
      <w:r>
        <w:t>AES/EBU</w:t>
      </w:r>
      <w:r>
        <w:rPr>
          <w:rFonts w:hint="eastAsia"/>
        </w:rPr>
        <w:t>输入接口正常连接；</w:t>
      </w:r>
    </w:p>
    <w:p w14:paraId="4B574977">
      <w:pPr>
        <w:pStyle w:val="177"/>
        <w:numPr>
          <w:ilvl w:val="0"/>
          <w:numId w:val="40"/>
        </w:numPr>
      </w:pPr>
      <w:r>
        <w:rPr>
          <w:rFonts w:hint="eastAsia"/>
        </w:rPr>
        <w:t>集成媒体模块沉浸式音频输出接口与被测设备沉浸式音频输入接口正常连接；</w:t>
      </w:r>
    </w:p>
    <w:p w14:paraId="3B361868">
      <w:pPr>
        <w:pStyle w:val="177"/>
        <w:numPr>
          <w:ilvl w:val="0"/>
          <w:numId w:val="40"/>
        </w:numPr>
      </w:pPr>
      <w:r>
        <w:rPr>
          <w:rFonts w:hint="eastAsia"/>
        </w:rPr>
        <w:t>集成媒体模块播放声床通道延时测量信号，调节通道的延时调节按钮，核查被测设备各声道延时变化情况。</w:t>
      </w:r>
    </w:p>
    <w:p w14:paraId="236F6725">
      <w:pPr>
        <w:pStyle w:val="68"/>
        <w:spacing w:before="156" w:after="156"/>
      </w:pPr>
      <w:bookmarkStart w:id="141" w:name="_Toc203577739"/>
      <w:r>
        <w:rPr>
          <w:rFonts w:hint="eastAsia"/>
        </w:rPr>
        <w:t>音频通路（数字进/模拟出）</w:t>
      </w:r>
      <w:bookmarkEnd w:id="141"/>
    </w:p>
    <w:p w14:paraId="0B403C58">
      <w:pPr>
        <w:pStyle w:val="97"/>
        <w:spacing w:before="156" w:after="156"/>
      </w:pPr>
      <w:r>
        <w:rPr>
          <w:rFonts w:hint="eastAsia"/>
        </w:rPr>
        <w:t>最大输出电平</w:t>
      </w:r>
    </w:p>
    <w:p w14:paraId="21D472E3">
      <w:pPr>
        <w:pStyle w:val="59"/>
        <w:ind w:firstLine="420"/>
      </w:pPr>
      <w:r>
        <w:rPr>
          <w:rFonts w:hint="eastAsia"/>
        </w:rPr>
        <w:t>最大输出电平测量步骤如下：</w:t>
      </w:r>
    </w:p>
    <w:p w14:paraId="73CD3502">
      <w:pPr>
        <w:pStyle w:val="177"/>
        <w:numPr>
          <w:ilvl w:val="0"/>
          <w:numId w:val="41"/>
        </w:numPr>
      </w:pPr>
      <w:bookmarkStart w:id="142" w:name="OLE_LINK22"/>
      <w:r>
        <w:rPr>
          <w:rFonts w:hint="eastAsia"/>
        </w:rPr>
        <w:t>被测设备</w:t>
      </w:r>
      <w:bookmarkStart w:id="143" w:name="OLE_LINK23"/>
      <w:r>
        <w:rPr>
          <w:rFonts w:hint="eastAsia"/>
        </w:rPr>
        <w:t>AES/EBU数字音频接口任一输入端</w:t>
      </w:r>
      <w:bookmarkEnd w:id="142"/>
      <w:bookmarkEnd w:id="143"/>
      <w:r>
        <w:rPr>
          <w:rFonts w:hint="eastAsia"/>
        </w:rPr>
        <w:t>输入频率为997</w:t>
      </w:r>
      <w:r>
        <w:t xml:space="preserve"> </w:t>
      </w:r>
      <w:r>
        <w:rPr>
          <w:rFonts w:hint="eastAsia"/>
        </w:rPr>
        <w:t>Hz、满度测量电平的正弦波测量信号；</w:t>
      </w:r>
    </w:p>
    <w:p w14:paraId="0CF26D1A">
      <w:pPr>
        <w:pStyle w:val="177"/>
        <w:numPr>
          <w:ilvl w:val="0"/>
          <w:numId w:val="41"/>
        </w:numPr>
      </w:pPr>
      <w:bookmarkStart w:id="144" w:name="OLE_LINK10"/>
      <w:r>
        <w:rPr>
          <w:rFonts w:hint="eastAsia"/>
        </w:rPr>
        <w:t>音频信号测试仪</w:t>
      </w:r>
      <w:bookmarkEnd w:id="144"/>
      <w:r>
        <w:rPr>
          <w:rFonts w:hint="eastAsia"/>
        </w:rPr>
        <w:t>输入端添加20</w:t>
      </w:r>
      <w:r>
        <w:t xml:space="preserve"> </w:t>
      </w:r>
      <w:r>
        <w:rPr>
          <w:rFonts w:hint="eastAsia"/>
        </w:rPr>
        <w:t>Hz～20</w:t>
      </w:r>
      <w:r>
        <w:t xml:space="preserve"> k</w:t>
      </w:r>
      <w:r>
        <w:rPr>
          <w:rFonts w:hint="eastAsia"/>
        </w:rPr>
        <w:t>Hz带通滤波器；</w:t>
      </w:r>
    </w:p>
    <w:p w14:paraId="0A25241C">
      <w:pPr>
        <w:pStyle w:val="177"/>
        <w:numPr>
          <w:ilvl w:val="0"/>
          <w:numId w:val="41"/>
        </w:numPr>
      </w:pPr>
      <w:bookmarkStart w:id="145" w:name="OLE_LINK24"/>
      <w:r>
        <w:rPr>
          <w:rFonts w:hint="eastAsia"/>
        </w:rPr>
        <w:t>将该输入通道信号依次路由到全部输出通道，</w:t>
      </w:r>
      <w:bookmarkEnd w:id="145"/>
      <w:r>
        <w:rPr>
          <w:rFonts w:hint="eastAsia"/>
        </w:rPr>
        <w:t>依次调节被测设备的输出电平，使输出端信号总谐波失真加噪声值达到1%；</w:t>
      </w:r>
    </w:p>
    <w:p w14:paraId="08FDB283">
      <w:pPr>
        <w:pStyle w:val="177"/>
        <w:numPr>
          <w:ilvl w:val="0"/>
          <w:numId w:val="41"/>
        </w:numPr>
      </w:pPr>
      <w:r>
        <w:rPr>
          <w:rFonts w:hint="eastAsia"/>
        </w:rPr>
        <w:t>依次记录输出端信号电平值，即为各通道的最大输出电平，单位（d</w:t>
      </w:r>
      <w:r>
        <w:t>Bu</w:t>
      </w:r>
      <w:r>
        <w:rPr>
          <w:rFonts w:hint="eastAsia"/>
        </w:rPr>
        <w:t>）；</w:t>
      </w:r>
    </w:p>
    <w:p w14:paraId="0FA769C5">
      <w:pPr>
        <w:pStyle w:val="177"/>
        <w:numPr>
          <w:ilvl w:val="0"/>
          <w:numId w:val="41"/>
        </w:numPr>
      </w:pPr>
      <w:r>
        <w:rPr>
          <w:rFonts w:hint="eastAsia"/>
        </w:rPr>
        <w:t>各通道最大输出电平的最小值为被测设备的最大输出电平。</w:t>
      </w:r>
    </w:p>
    <w:p w14:paraId="2BAAB6B9">
      <w:pPr>
        <w:pStyle w:val="97"/>
        <w:spacing w:before="156" w:after="156"/>
      </w:pPr>
      <w:bookmarkStart w:id="146" w:name="_Toc485020655"/>
      <w:bookmarkStart w:id="147" w:name="_Toc54597432"/>
      <w:bookmarkStart w:id="148" w:name="_Toc484879342"/>
      <w:bookmarkStart w:id="149" w:name="_Toc505682196"/>
      <w:bookmarkStart w:id="150" w:name="_Toc510956807"/>
      <w:r>
        <w:rPr>
          <w:rFonts w:hint="eastAsia"/>
        </w:rPr>
        <w:t>通道间增益差</w:t>
      </w:r>
      <w:bookmarkEnd w:id="146"/>
      <w:bookmarkEnd w:id="147"/>
      <w:bookmarkEnd w:id="148"/>
      <w:bookmarkEnd w:id="149"/>
      <w:bookmarkEnd w:id="150"/>
    </w:p>
    <w:p w14:paraId="21682FFF">
      <w:pPr>
        <w:pStyle w:val="233"/>
      </w:pPr>
      <w:r>
        <w:rPr>
          <w:rFonts w:hint="eastAsia"/>
        </w:rPr>
        <w:t>相邻通道间增益差的测量步骤如下：</w:t>
      </w:r>
    </w:p>
    <w:p w14:paraId="403B0DED">
      <w:pPr>
        <w:pStyle w:val="177"/>
        <w:numPr>
          <w:ilvl w:val="0"/>
          <w:numId w:val="42"/>
        </w:numPr>
      </w:pPr>
      <w:r>
        <w:rPr>
          <w:rFonts w:hint="eastAsia"/>
        </w:rPr>
        <w:t>被测设备置于标准测量状态；</w:t>
      </w:r>
    </w:p>
    <w:p w14:paraId="24D8981B">
      <w:pPr>
        <w:pStyle w:val="177"/>
        <w:numPr>
          <w:ilvl w:val="0"/>
          <w:numId w:val="42"/>
        </w:numPr>
      </w:pPr>
      <w:r>
        <w:rPr>
          <w:rFonts w:hint="eastAsia"/>
        </w:rPr>
        <w:t>被测设备AES/EBU数字音频接口任一输入端输入频率为20</w:t>
      </w:r>
      <w:r>
        <w:t xml:space="preserve"> </w:t>
      </w:r>
      <w:r>
        <w:rPr>
          <w:rFonts w:hint="eastAsia"/>
        </w:rPr>
        <w:t>Hz～20</w:t>
      </w:r>
      <w:r>
        <w:t xml:space="preserve"> k</w:t>
      </w:r>
      <w:r>
        <w:rPr>
          <w:rFonts w:hint="eastAsia"/>
        </w:rPr>
        <w:t>Hz、基准测量电平的正弦波测量信号；</w:t>
      </w:r>
    </w:p>
    <w:p w14:paraId="52C36AF3">
      <w:pPr>
        <w:pStyle w:val="177"/>
        <w:numPr>
          <w:ilvl w:val="0"/>
          <w:numId w:val="42"/>
        </w:numPr>
      </w:pPr>
      <w:r>
        <w:rPr>
          <w:rFonts w:hint="eastAsia"/>
        </w:rPr>
        <w:t>将该输入通道信号依次路由到所有输出通道，记录每个输出通道中各频率取样点下的输出端信号电平值，单位（d</w:t>
      </w:r>
      <w:r>
        <w:t>Bu</w:t>
      </w:r>
      <w:r>
        <w:rPr>
          <w:rFonts w:hint="eastAsia"/>
        </w:rPr>
        <w:t>）；</w:t>
      </w:r>
    </w:p>
    <w:p w14:paraId="1692D8DF">
      <w:pPr>
        <w:pStyle w:val="177"/>
        <w:numPr>
          <w:ilvl w:val="0"/>
          <w:numId w:val="42"/>
        </w:numPr>
      </w:pPr>
      <w:r>
        <w:rPr>
          <w:rFonts w:hint="eastAsia"/>
        </w:rPr>
        <w:t>在各频率取样点处，选取所有通道中的最大电平值与最小电平值计算全部输出通道在该频率点的最大电平差值，单位（dB）；</w:t>
      </w:r>
    </w:p>
    <w:p w14:paraId="7C7E9C01">
      <w:pPr>
        <w:pStyle w:val="177"/>
        <w:numPr>
          <w:ilvl w:val="0"/>
          <w:numId w:val="42"/>
        </w:numPr>
      </w:pPr>
      <w:r>
        <w:rPr>
          <w:rFonts w:hint="eastAsia"/>
        </w:rPr>
        <w:t>取所有频点处的最大电平差中的最大值，即为通道间增益差,单位（d</w:t>
      </w:r>
      <w:r>
        <w:t>B</w:t>
      </w:r>
      <w:r>
        <w:rPr>
          <w:rFonts w:hint="eastAsia"/>
        </w:rPr>
        <w:t>）。</w:t>
      </w:r>
    </w:p>
    <w:p w14:paraId="6E5808E9">
      <w:pPr>
        <w:pStyle w:val="97"/>
        <w:spacing w:before="156" w:after="156"/>
      </w:pPr>
      <w:bookmarkStart w:id="151" w:name="_Toc484879343"/>
      <w:bookmarkStart w:id="152" w:name="_Toc54597433"/>
      <w:bookmarkStart w:id="153" w:name="_Toc505682197"/>
      <w:bookmarkStart w:id="154" w:name="_Toc510956808"/>
      <w:bookmarkStart w:id="155" w:name="_Toc485020656"/>
      <w:r>
        <w:rPr>
          <w:rFonts w:hint="eastAsia"/>
        </w:rPr>
        <w:t>幅频响应</w:t>
      </w:r>
      <w:bookmarkEnd w:id="151"/>
      <w:bookmarkEnd w:id="152"/>
      <w:bookmarkEnd w:id="153"/>
      <w:bookmarkEnd w:id="154"/>
      <w:bookmarkEnd w:id="155"/>
    </w:p>
    <w:p w14:paraId="0E2A5D4A">
      <w:pPr>
        <w:pStyle w:val="233"/>
      </w:pPr>
      <w:r>
        <w:rPr>
          <w:rFonts w:hint="eastAsia"/>
        </w:rPr>
        <w:t>幅频响应的测量步骤如下：</w:t>
      </w:r>
    </w:p>
    <w:p w14:paraId="5A0DAC58">
      <w:pPr>
        <w:pStyle w:val="177"/>
        <w:numPr>
          <w:ilvl w:val="0"/>
          <w:numId w:val="43"/>
        </w:numPr>
      </w:pPr>
      <w:r>
        <w:rPr>
          <w:rFonts w:hint="eastAsia"/>
        </w:rPr>
        <w:t>被测设备置于标准测量状态；</w:t>
      </w:r>
    </w:p>
    <w:p w14:paraId="1B663049">
      <w:pPr>
        <w:pStyle w:val="177"/>
        <w:numPr>
          <w:ilvl w:val="0"/>
          <w:numId w:val="43"/>
        </w:numPr>
      </w:pPr>
      <w:r>
        <w:rPr>
          <w:rFonts w:hint="eastAsia"/>
        </w:rPr>
        <w:t>被测设备AES/EBU数字音频接口任一输入端输入频率为20</w:t>
      </w:r>
      <w:r>
        <w:t xml:space="preserve"> </w:t>
      </w:r>
      <w:r>
        <w:rPr>
          <w:rFonts w:hint="eastAsia"/>
        </w:rPr>
        <w:t>Hz～20</w:t>
      </w:r>
      <w:r>
        <w:t xml:space="preserve"> k</w:t>
      </w:r>
      <w:r>
        <w:rPr>
          <w:rFonts w:hint="eastAsia"/>
        </w:rPr>
        <w:t>Hz、基准测量电平的正弦波测量信号；</w:t>
      </w:r>
    </w:p>
    <w:p w14:paraId="191241AD">
      <w:pPr>
        <w:pStyle w:val="177"/>
        <w:numPr>
          <w:ilvl w:val="0"/>
          <w:numId w:val="43"/>
        </w:numPr>
      </w:pPr>
      <w:r>
        <w:rPr>
          <w:rFonts w:hint="eastAsia"/>
        </w:rPr>
        <w:t>将该输入通道信号依次路由到全部输出通道，依次记录各频率取样点下的输出端信号电平值，单位（d</w:t>
      </w:r>
      <w:r>
        <w:t>Bu</w:t>
      </w:r>
      <w:r>
        <w:rPr>
          <w:rFonts w:hint="eastAsia"/>
        </w:rPr>
        <w:t>）；</w:t>
      </w:r>
    </w:p>
    <w:p w14:paraId="16C67419">
      <w:pPr>
        <w:pStyle w:val="177"/>
        <w:numPr>
          <w:ilvl w:val="0"/>
          <w:numId w:val="43"/>
        </w:numPr>
      </w:pPr>
      <w:r>
        <w:rPr>
          <w:rFonts w:hint="eastAsia"/>
        </w:rPr>
        <w:t>将记录下的信号电平值与997 Hz处的输出信号电平值相减，差值最大值即为该通道的幅频响应值，单位（dB）。</w:t>
      </w:r>
    </w:p>
    <w:p w14:paraId="64B42271">
      <w:pPr>
        <w:pStyle w:val="97"/>
        <w:spacing w:before="156" w:after="156"/>
      </w:pPr>
      <w:bookmarkStart w:id="156" w:name="_Toc484879344"/>
      <w:bookmarkStart w:id="157" w:name="_Toc510956809"/>
      <w:bookmarkStart w:id="158" w:name="_Toc485020657"/>
      <w:bookmarkStart w:id="159" w:name="_Toc505682198"/>
      <w:bookmarkStart w:id="160" w:name="_Toc54597434"/>
      <w:r>
        <w:rPr>
          <w:rFonts w:hint="eastAsia"/>
        </w:rPr>
        <w:t>信噪比</w:t>
      </w:r>
      <w:bookmarkEnd w:id="156"/>
      <w:bookmarkEnd w:id="157"/>
      <w:bookmarkEnd w:id="158"/>
      <w:bookmarkEnd w:id="159"/>
      <w:bookmarkEnd w:id="160"/>
    </w:p>
    <w:p w14:paraId="7FB99A2D">
      <w:pPr>
        <w:pStyle w:val="233"/>
      </w:pPr>
      <w:r>
        <w:rPr>
          <w:rFonts w:hint="eastAsia"/>
        </w:rPr>
        <w:t>信噪比的测量步骤如下：</w:t>
      </w:r>
    </w:p>
    <w:p w14:paraId="51E5C608">
      <w:pPr>
        <w:pStyle w:val="177"/>
        <w:numPr>
          <w:ilvl w:val="0"/>
          <w:numId w:val="44"/>
        </w:numPr>
      </w:pPr>
      <w:r>
        <w:rPr>
          <w:rFonts w:hint="eastAsia"/>
        </w:rPr>
        <w:t>被测设备</w:t>
      </w:r>
      <w:bookmarkStart w:id="161" w:name="OLE_LINK26"/>
      <w:r>
        <w:rPr>
          <w:rFonts w:hint="eastAsia"/>
        </w:rPr>
        <w:t>置于标准测量状态</w:t>
      </w:r>
      <w:bookmarkEnd w:id="161"/>
      <w:r>
        <w:rPr>
          <w:rFonts w:hint="eastAsia"/>
        </w:rPr>
        <w:t>；</w:t>
      </w:r>
    </w:p>
    <w:p w14:paraId="24CE7796">
      <w:pPr>
        <w:pStyle w:val="177"/>
        <w:numPr>
          <w:ilvl w:val="0"/>
          <w:numId w:val="44"/>
        </w:numPr>
      </w:pPr>
      <w:r>
        <w:rPr>
          <w:rFonts w:hint="eastAsia"/>
        </w:rPr>
        <w:t>音频信号测试仪输入端添加20</w:t>
      </w:r>
      <w:r>
        <w:t xml:space="preserve"> </w:t>
      </w:r>
      <w:r>
        <w:rPr>
          <w:rFonts w:hint="eastAsia"/>
        </w:rPr>
        <w:t>Hz～20</w:t>
      </w:r>
      <w:r>
        <w:t xml:space="preserve"> k</w:t>
      </w:r>
      <w:r>
        <w:rPr>
          <w:rFonts w:hint="eastAsia"/>
        </w:rPr>
        <w:t>Hz带通滤波器；</w:t>
      </w:r>
    </w:p>
    <w:p w14:paraId="3A17B64E">
      <w:pPr>
        <w:pStyle w:val="177"/>
        <w:numPr>
          <w:ilvl w:val="0"/>
          <w:numId w:val="44"/>
        </w:numPr>
      </w:pPr>
      <w:r>
        <w:rPr>
          <w:rFonts w:hint="eastAsia"/>
        </w:rPr>
        <w:t>被测设备AES/EBU数字音频接口任一输入端输入频率为997</w:t>
      </w:r>
      <w:r>
        <w:t xml:space="preserve"> </w:t>
      </w:r>
      <w:r>
        <w:rPr>
          <w:rFonts w:hint="eastAsia"/>
        </w:rPr>
        <w:t>Hz、基准测量电平的正弦波测量信号，将该输入通道信号依次路由到全部输出通道，依次记录输出端信号电平值</w:t>
      </w:r>
      <w:r>
        <w:rPr>
          <w:rFonts w:hint="eastAsia"/>
          <w:i/>
          <w:iCs/>
        </w:rPr>
        <w:t>U</w:t>
      </w:r>
      <w:r>
        <w:rPr>
          <w:rFonts w:hint="eastAsia"/>
          <w:i/>
          <w:iCs/>
          <w:vertAlign w:val="subscript"/>
        </w:rPr>
        <w:t>1</w:t>
      </w:r>
      <w:r>
        <w:rPr>
          <w:rFonts w:hint="eastAsia"/>
        </w:rPr>
        <w:t>，单位（d</w:t>
      </w:r>
      <w:r>
        <w:t>B</w:t>
      </w:r>
      <w:r>
        <w:rPr>
          <w:rFonts w:hint="eastAsia"/>
        </w:rPr>
        <w:t>u）；</w:t>
      </w:r>
    </w:p>
    <w:p w14:paraId="51206ACE">
      <w:pPr>
        <w:pStyle w:val="177"/>
        <w:numPr>
          <w:ilvl w:val="0"/>
          <w:numId w:val="44"/>
        </w:numPr>
      </w:pPr>
      <w:r>
        <w:rPr>
          <w:rFonts w:hint="eastAsia"/>
        </w:rPr>
        <w:t>被测设备AES/EBU数字音频接口任一输入端输入频率为997</w:t>
      </w:r>
      <w:r>
        <w:t xml:space="preserve"> </w:t>
      </w:r>
      <w:r>
        <w:rPr>
          <w:rFonts w:hint="eastAsia"/>
        </w:rPr>
        <w:t>Hz、电平为0 hex的正弦波测量信号，将该输入通道信号依次路由到全部输出通道，依次记录输出端信号电平值</w:t>
      </w:r>
      <w:r>
        <w:rPr>
          <w:rFonts w:hint="eastAsia"/>
          <w:i/>
          <w:iCs/>
        </w:rPr>
        <w:t>U</w:t>
      </w:r>
      <w:r>
        <w:rPr>
          <w:rFonts w:hint="eastAsia"/>
          <w:i/>
          <w:iCs/>
          <w:vertAlign w:val="subscript"/>
        </w:rPr>
        <w:t>2</w:t>
      </w:r>
      <w:r>
        <w:rPr>
          <w:rFonts w:hint="eastAsia"/>
        </w:rPr>
        <w:t>，单位（d</w:t>
      </w:r>
      <w:r>
        <w:t>Bu</w:t>
      </w:r>
      <w:r>
        <w:rPr>
          <w:rFonts w:hint="eastAsia"/>
        </w:rPr>
        <w:t>）；</w:t>
      </w:r>
    </w:p>
    <w:p w14:paraId="27254A89">
      <w:pPr>
        <w:pStyle w:val="177"/>
        <w:numPr>
          <w:ilvl w:val="0"/>
          <w:numId w:val="44"/>
        </w:numPr>
      </w:pPr>
      <w:r>
        <w:rPr>
          <w:rFonts w:hint="eastAsia"/>
        </w:rPr>
        <w:t>各输出通道的信噪比</w:t>
      </w:r>
      <w:r>
        <w:rPr>
          <w:rFonts w:hint="eastAsia"/>
          <w:i/>
          <w:iCs/>
        </w:rPr>
        <w:t>S</w:t>
      </w:r>
      <w:r>
        <w:rPr>
          <w:i/>
          <w:iCs/>
        </w:rPr>
        <w:t>/N</w:t>
      </w:r>
      <w:r>
        <w:rPr>
          <w:rFonts w:hint="eastAsia"/>
        </w:rPr>
        <w:t>为</w:t>
      </w:r>
      <w:r>
        <w:rPr>
          <w:rFonts w:hint="eastAsia"/>
          <w:i/>
          <w:iCs/>
        </w:rPr>
        <w:t>U</w:t>
      </w:r>
      <w:r>
        <w:rPr>
          <w:rFonts w:hint="eastAsia"/>
          <w:i/>
          <w:iCs/>
          <w:vertAlign w:val="subscript"/>
        </w:rPr>
        <w:t>1</w:t>
      </w:r>
      <w:r>
        <w:rPr>
          <w:rFonts w:hint="eastAsia"/>
        </w:rPr>
        <w:t>与</w:t>
      </w:r>
      <w:r>
        <w:rPr>
          <w:rFonts w:hint="eastAsia"/>
          <w:i/>
          <w:iCs/>
        </w:rPr>
        <w:t>U</w:t>
      </w:r>
      <w:r>
        <w:rPr>
          <w:rFonts w:hint="eastAsia"/>
          <w:i/>
          <w:iCs/>
          <w:vertAlign w:val="subscript"/>
        </w:rPr>
        <w:t>2</w:t>
      </w:r>
      <w:r>
        <w:rPr>
          <w:rFonts w:hint="eastAsia"/>
        </w:rPr>
        <w:t>的差值，单位（d</w:t>
      </w:r>
      <w:r>
        <w:t>B</w:t>
      </w:r>
      <w:r>
        <w:rPr>
          <w:rFonts w:hint="eastAsia"/>
        </w:rPr>
        <w:t>）。</w:t>
      </w:r>
    </w:p>
    <w:p w14:paraId="436DAE5C">
      <w:pPr>
        <w:pStyle w:val="97"/>
        <w:spacing w:before="156" w:after="156"/>
      </w:pPr>
      <w:bookmarkStart w:id="162" w:name="_Toc54597435"/>
      <w:r>
        <w:rPr>
          <w:rFonts w:hint="eastAsia"/>
        </w:rPr>
        <w:t>动态范围</w:t>
      </w:r>
      <w:bookmarkEnd w:id="162"/>
    </w:p>
    <w:p w14:paraId="2E70BE3F">
      <w:pPr>
        <w:pStyle w:val="59"/>
        <w:ind w:firstLine="420"/>
      </w:pPr>
      <w:r>
        <w:rPr>
          <w:rFonts w:hint="eastAsia"/>
        </w:rPr>
        <w:t>动态范围的测量步骤如下：</w:t>
      </w:r>
    </w:p>
    <w:p w14:paraId="50BEE826">
      <w:pPr>
        <w:pStyle w:val="177"/>
        <w:numPr>
          <w:ilvl w:val="0"/>
          <w:numId w:val="45"/>
        </w:numPr>
      </w:pPr>
      <w:r>
        <w:rPr>
          <w:rFonts w:hint="eastAsia"/>
        </w:rPr>
        <w:t>被测设备置于标准测量状态；</w:t>
      </w:r>
    </w:p>
    <w:p w14:paraId="30D0E4F8">
      <w:pPr>
        <w:pStyle w:val="177"/>
        <w:numPr>
          <w:ilvl w:val="0"/>
          <w:numId w:val="45"/>
        </w:numPr>
      </w:pPr>
      <w:r>
        <w:rPr>
          <w:rFonts w:hint="eastAsia"/>
        </w:rPr>
        <w:t>音频信号测试仪输入端添加20</w:t>
      </w:r>
      <w:r>
        <w:t xml:space="preserve"> </w:t>
      </w:r>
      <w:r>
        <w:rPr>
          <w:rFonts w:hint="eastAsia"/>
        </w:rPr>
        <w:t>Hz～20</w:t>
      </w:r>
      <w:r>
        <w:t xml:space="preserve"> k</w:t>
      </w:r>
      <w:r>
        <w:rPr>
          <w:rFonts w:hint="eastAsia"/>
        </w:rPr>
        <w:t>Hz带通滤波器；</w:t>
      </w:r>
    </w:p>
    <w:p w14:paraId="6CA6AA71">
      <w:pPr>
        <w:pStyle w:val="177"/>
        <w:numPr>
          <w:ilvl w:val="0"/>
          <w:numId w:val="45"/>
        </w:numPr>
      </w:pPr>
      <w:r>
        <w:rPr>
          <w:rFonts w:hint="eastAsia"/>
        </w:rPr>
        <w:t>被测设备AES/EBU数字音频接口任一输入端输入频率为997</w:t>
      </w:r>
      <w:r>
        <w:t xml:space="preserve"> </w:t>
      </w:r>
      <w:r>
        <w:rPr>
          <w:rFonts w:hint="eastAsia"/>
        </w:rPr>
        <w:t>Hz、电平为-60</w:t>
      </w:r>
      <w:r>
        <w:t xml:space="preserve"> </w:t>
      </w:r>
      <w:r>
        <w:rPr>
          <w:rFonts w:hint="eastAsia"/>
        </w:rPr>
        <w:t>dBF</w:t>
      </w:r>
      <w:r>
        <w:t>S</w:t>
      </w:r>
      <w:r>
        <w:rPr>
          <w:rFonts w:hint="eastAsia"/>
        </w:rPr>
        <w:t>的正弦波测量信号；</w:t>
      </w:r>
    </w:p>
    <w:p w14:paraId="2AEFC129">
      <w:pPr>
        <w:pStyle w:val="177"/>
        <w:numPr>
          <w:ilvl w:val="0"/>
          <w:numId w:val="45"/>
        </w:numPr>
      </w:pPr>
      <w:r>
        <w:rPr>
          <w:rFonts w:hint="eastAsia"/>
        </w:rPr>
        <w:t>将该输入通道信号依次路由到全部输出通道，使用A计权滤波，依次记录输出端信号总谐波失真加噪声值N%；</w:t>
      </w:r>
    </w:p>
    <w:p w14:paraId="3F51A37D">
      <w:pPr>
        <w:pStyle w:val="177"/>
        <w:numPr>
          <w:ilvl w:val="0"/>
          <w:numId w:val="45"/>
        </w:numPr>
      </w:pPr>
      <w:r>
        <w:rPr>
          <w:rFonts w:hint="eastAsia"/>
        </w:rPr>
        <w:t>设动态范围为</w:t>
      </w:r>
      <w:r>
        <w:rPr>
          <w:rFonts w:hint="eastAsia"/>
          <w:i/>
          <w:iCs/>
        </w:rPr>
        <w:t>D</w:t>
      </w:r>
      <w:r>
        <w:rPr>
          <w:rFonts w:hint="eastAsia"/>
        </w:rPr>
        <w:t>，按公式（</w:t>
      </w:r>
      <w:r>
        <w:t>1</w:t>
      </w:r>
      <w:r>
        <w:rPr>
          <w:rFonts w:hint="eastAsia"/>
        </w:rPr>
        <w:t>）计算动态范围，单位（d</w:t>
      </w:r>
      <w:r>
        <w:t>B</w:t>
      </w:r>
      <w:r>
        <w:rPr>
          <w:rFonts w:hint="eastAsia"/>
        </w:rPr>
        <w:t>）</w:t>
      </w:r>
      <w:r>
        <w:t>。</w:t>
      </w:r>
    </w:p>
    <w:p w14:paraId="5AD4AEA1">
      <w:pPr>
        <w:pStyle w:val="116"/>
      </w:pPr>
      <w:r>
        <w:tab/>
      </w:r>
      <m:oMath>
        <m:r>
          <m:rPr/>
          <w:rPr>
            <w:rStyle w:val="189"/>
            <w:rFonts w:ascii="Cambria Math" w:hAnsi="Cambria Math"/>
            <w:color w:val="000000" w:themeColor="text1"/>
            <w14:textFill>
              <w14:solidFill>
                <w14:schemeClr w14:val="tx1"/>
              </w14:solidFill>
            </w14:textFill>
          </w:rPr>
          <m:t>D=−20</m:t>
        </m:r>
        <m:func>
          <m:funcPr>
            <m:ctrlPr>
              <w:rPr>
                <w:rStyle w:val="189"/>
                <w:rFonts w:ascii="Cambria Math" w:hAnsi="Cambria Math"/>
                <w:color w:val="000000" w:themeColor="text1"/>
                <w14:textFill>
                  <w14:solidFill>
                    <w14:schemeClr w14:val="tx1"/>
                  </w14:solidFill>
                </w14:textFill>
              </w:rPr>
            </m:ctrlPr>
          </m:funcPr>
          <m:fName>
            <m:r>
              <m:rPr>
                <m:sty m:val="p"/>
              </m:rPr>
              <w:rPr>
                <w:rStyle w:val="189"/>
                <w:rFonts w:ascii="Cambria Math" w:hAnsi="Cambria Math"/>
                <w:color w:val="000000" w:themeColor="text1"/>
                <w14:textFill>
                  <w14:solidFill>
                    <w14:schemeClr w14:val="tx1"/>
                  </w14:solidFill>
                </w14:textFill>
              </w:rPr>
              <m:t>lg</m:t>
            </m:r>
            <m:ctrlPr>
              <w:rPr>
                <w:rStyle w:val="189"/>
                <w:rFonts w:ascii="Cambria Math" w:hAnsi="Cambria Math"/>
                <w:color w:val="000000" w:themeColor="text1"/>
                <w14:textFill>
                  <w14:solidFill>
                    <w14:schemeClr w14:val="tx1"/>
                  </w14:solidFill>
                </w14:textFill>
              </w:rPr>
            </m:ctrlPr>
          </m:fName>
          <m:e>
            <m:d>
              <m:dPr>
                <m:ctrlPr>
                  <w:rPr>
                    <w:rStyle w:val="189"/>
                    <w:rFonts w:ascii="Cambria Math" w:hAnsi="Cambria Math"/>
                    <w:i/>
                    <w:color w:val="000000" w:themeColor="text1"/>
                    <w14:textFill>
                      <w14:solidFill>
                        <w14:schemeClr w14:val="tx1"/>
                      </w14:solidFill>
                    </w14:textFill>
                  </w:rPr>
                </m:ctrlPr>
              </m:dPr>
              <m:e>
                <m:f>
                  <m:fPr>
                    <m:ctrlPr>
                      <w:rPr>
                        <w:rStyle w:val="189"/>
                        <w:rFonts w:ascii="Cambria Math" w:hAnsi="Cambria Math"/>
                        <w:i/>
                        <w:color w:val="000000" w:themeColor="text1"/>
                        <w14:textFill>
                          <w14:solidFill>
                            <w14:schemeClr w14:val="tx1"/>
                          </w14:solidFill>
                        </w14:textFill>
                      </w:rPr>
                    </m:ctrlPr>
                  </m:fPr>
                  <m:num>
                    <m:r>
                      <m:rPr/>
                      <w:rPr>
                        <w:rStyle w:val="189"/>
                        <w:rFonts w:ascii="Cambria Math" w:hAnsi="Cambria Math"/>
                        <w:color w:val="000000" w:themeColor="text1"/>
                        <w14:textFill>
                          <w14:solidFill>
                            <w14:schemeClr w14:val="tx1"/>
                          </w14:solidFill>
                        </w14:textFill>
                      </w:rPr>
                      <m:t>N</m:t>
                    </m:r>
                    <m:ctrlPr>
                      <w:rPr>
                        <w:rStyle w:val="189"/>
                        <w:rFonts w:ascii="Cambria Math" w:hAnsi="Cambria Math"/>
                        <w:i/>
                        <w:color w:val="000000" w:themeColor="text1"/>
                        <w14:textFill>
                          <w14:solidFill>
                            <w14:schemeClr w14:val="tx1"/>
                          </w14:solidFill>
                        </w14:textFill>
                      </w:rPr>
                    </m:ctrlPr>
                  </m:num>
                  <m:den>
                    <m:r>
                      <m:rPr/>
                      <w:rPr>
                        <w:rStyle w:val="189"/>
                        <w:rFonts w:ascii="Cambria Math" w:hAnsi="Cambria Math"/>
                        <w:color w:val="000000" w:themeColor="text1"/>
                        <w14:textFill>
                          <w14:solidFill>
                            <w14:schemeClr w14:val="tx1"/>
                          </w14:solidFill>
                        </w14:textFill>
                      </w:rPr>
                      <m:t>100</m:t>
                    </m:r>
                    <m:ctrlPr>
                      <w:rPr>
                        <w:rStyle w:val="189"/>
                        <w:rFonts w:ascii="Cambria Math" w:hAnsi="Cambria Math"/>
                        <w:i/>
                        <w:color w:val="000000" w:themeColor="text1"/>
                        <w14:textFill>
                          <w14:solidFill>
                            <w14:schemeClr w14:val="tx1"/>
                          </w14:solidFill>
                        </w14:textFill>
                      </w:rPr>
                    </m:ctrlPr>
                  </m:den>
                </m:f>
                <m:ctrlPr>
                  <w:rPr>
                    <w:rStyle w:val="189"/>
                    <w:rFonts w:ascii="Cambria Math" w:hAnsi="Cambria Math"/>
                    <w:i/>
                    <w:color w:val="000000" w:themeColor="text1"/>
                    <w14:textFill>
                      <w14:solidFill>
                        <w14:schemeClr w14:val="tx1"/>
                      </w14:solidFill>
                    </w14:textFill>
                  </w:rPr>
                </m:ctrlPr>
              </m:e>
            </m:d>
            <m:ctrlPr>
              <w:rPr>
                <w:rStyle w:val="189"/>
                <w:rFonts w:ascii="Cambria Math" w:hAnsi="Cambria Math"/>
                <w:color w:val="000000" w:themeColor="text1"/>
                <w14:textFill>
                  <w14:solidFill>
                    <w14:schemeClr w14:val="tx1"/>
                  </w14:solidFill>
                </w14:textFill>
              </w:rPr>
            </m:ctrlPr>
          </m:e>
        </m:func>
        <m:r>
          <m:rPr/>
          <w:rPr>
            <w:rStyle w:val="189"/>
            <w:rFonts w:ascii="Cambria Math" w:hAnsi="Cambria Math"/>
            <w:color w:val="000000" w:themeColor="text1"/>
            <w14:textFill>
              <w14:solidFill>
                <w14:schemeClr w14:val="tx1"/>
              </w14:solidFill>
            </w14:textFill>
          </w:rPr>
          <m:t>+60</m:t>
        </m:r>
      </m:oMath>
      <w:r>
        <w:rPr>
          <w:rFonts w:ascii="微软雅黑" w:hAnsi="微软雅黑" w:eastAsia="微软雅黑"/>
        </w:rPr>
        <w:tab/>
      </w:r>
      <w:r>
        <w:t>(</w:t>
      </w:r>
      <w:r>
        <w:fldChar w:fldCharType="begin"/>
      </w:r>
      <w:r>
        <w:instrText xml:space="preserve"> AUTONUM </w:instrText>
      </w:r>
      <w:r>
        <w:fldChar w:fldCharType="end"/>
      </w:r>
      <w:r>
        <w:t>)</w:t>
      </w:r>
    </w:p>
    <w:p w14:paraId="52276F7C">
      <w:pPr>
        <w:pStyle w:val="58"/>
        <w:ind w:firstLine="420"/>
      </w:pPr>
      <w:r>
        <w:rPr>
          <w:rFonts w:hint="eastAsia"/>
        </w:rPr>
        <w:t>式中：</w:t>
      </w:r>
    </w:p>
    <w:p w14:paraId="4F376042">
      <w:pPr>
        <w:pStyle w:val="135"/>
        <w:numPr>
          <w:ilvl w:val="0"/>
          <w:numId w:val="0"/>
        </w:numPr>
        <w:ind w:left="851" w:hanging="426"/>
      </w:pPr>
      <w:r>
        <w:rPr>
          <w:i/>
          <w:iCs/>
        </w:rPr>
        <w:t>D</w:t>
      </w:r>
      <w:r>
        <w:rPr>
          <w:rFonts w:hint="eastAsia"/>
          <w:i/>
          <w:iCs/>
        </w:rPr>
        <w:t>——</w:t>
      </w:r>
      <w:r>
        <w:rPr>
          <w:rFonts w:hint="eastAsia"/>
        </w:rPr>
        <w:t>动态范围；</w:t>
      </w:r>
    </w:p>
    <w:p w14:paraId="49BCCB09">
      <w:pPr>
        <w:pStyle w:val="59"/>
        <w:ind w:firstLine="420"/>
      </w:pPr>
      <w:r>
        <w:rPr>
          <w:i/>
          <w:iCs/>
        </w:rPr>
        <w:t>N</w:t>
      </w:r>
      <w:r>
        <w:rPr>
          <w:rFonts w:hint="eastAsia"/>
        </w:rPr>
        <w:t>——总谐波失真加噪声值。</w:t>
      </w:r>
    </w:p>
    <w:p w14:paraId="17623CD7">
      <w:pPr>
        <w:pStyle w:val="97"/>
        <w:spacing w:before="156" w:after="156"/>
      </w:pPr>
      <w:bookmarkStart w:id="163" w:name="_Toc54597436"/>
      <w:r>
        <w:rPr>
          <w:rFonts w:hint="eastAsia"/>
        </w:rPr>
        <w:t>相邻通道间串音衰减</w:t>
      </w:r>
      <w:bookmarkEnd w:id="163"/>
    </w:p>
    <w:p w14:paraId="427AFF28">
      <w:pPr>
        <w:pStyle w:val="59"/>
        <w:ind w:firstLine="420"/>
      </w:pPr>
      <w:r>
        <w:rPr>
          <w:rFonts w:hint="eastAsia"/>
        </w:rPr>
        <w:t>相邻通道间串音衰减的测量步骤如下：</w:t>
      </w:r>
    </w:p>
    <w:p w14:paraId="457B1834">
      <w:pPr>
        <w:pStyle w:val="177"/>
        <w:numPr>
          <w:ilvl w:val="0"/>
          <w:numId w:val="46"/>
        </w:numPr>
      </w:pPr>
      <w:r>
        <w:rPr>
          <w:rFonts w:hint="eastAsia"/>
        </w:rPr>
        <w:t>被测设备置于标准测量状态；</w:t>
      </w:r>
    </w:p>
    <w:p w14:paraId="4C41E90F">
      <w:pPr>
        <w:pStyle w:val="177"/>
      </w:pPr>
      <w:r>
        <w:rPr>
          <w:rFonts w:hint="eastAsia"/>
        </w:rPr>
        <w:t>被测设备</w:t>
      </w:r>
      <w:bookmarkStart w:id="164" w:name="_Hlk16689032"/>
      <w:r>
        <w:rPr>
          <w:rFonts w:hint="eastAsia"/>
        </w:rPr>
        <w:t>任一相邻</w:t>
      </w:r>
      <w:r>
        <w:t>A</w:t>
      </w:r>
      <w:r>
        <w:rPr>
          <w:rFonts w:hint="eastAsia"/>
        </w:rPr>
        <w:t>通道和B通道输入端</w:t>
      </w:r>
      <w:bookmarkEnd w:id="164"/>
      <w:r>
        <w:rPr>
          <w:rFonts w:hint="eastAsia"/>
        </w:rPr>
        <w:t>输入频率为</w:t>
      </w:r>
      <w:r>
        <w:t xml:space="preserve">997 </w:t>
      </w:r>
      <w:r>
        <w:rPr>
          <w:rFonts w:hint="eastAsia"/>
        </w:rPr>
        <w:t>Hz、基准测量电平的正弦波测量信号，将该输入通道信号依次路由到相邻的两个输出通道，依次记录A通道、B通道输出端信号电平值</w:t>
      </w:r>
      <w:r>
        <w:rPr>
          <w:rFonts w:hint="eastAsia"/>
          <w:i/>
          <w:iCs/>
        </w:rPr>
        <w:t>U</w:t>
      </w:r>
      <w:r>
        <w:rPr>
          <w:i/>
          <w:iCs/>
          <w:vertAlign w:val="subscript"/>
        </w:rPr>
        <w:t>A,A</w:t>
      </w:r>
      <w:r>
        <w:rPr>
          <w:rFonts w:hint="eastAsia"/>
        </w:rPr>
        <w:t>、</w:t>
      </w:r>
      <w:r>
        <w:rPr>
          <w:rFonts w:hint="eastAsia"/>
          <w:i/>
          <w:iCs/>
        </w:rPr>
        <w:t>U</w:t>
      </w:r>
      <w:r>
        <w:rPr>
          <w:i/>
          <w:iCs/>
          <w:vertAlign w:val="subscript"/>
        </w:rPr>
        <w:t xml:space="preserve">B,B </w:t>
      </w:r>
      <w:r>
        <w:rPr>
          <w:rFonts w:hint="eastAsia"/>
        </w:rPr>
        <w:t>，单位（dB</w:t>
      </w:r>
      <w:r>
        <w:t>u</w:t>
      </w:r>
      <w:r>
        <w:rPr>
          <w:rFonts w:hint="eastAsia"/>
        </w:rPr>
        <w:t>）；</w:t>
      </w:r>
    </w:p>
    <w:p w14:paraId="31BA572C">
      <w:pPr>
        <w:pStyle w:val="177"/>
      </w:pPr>
      <w:r>
        <w:rPr>
          <w:rFonts w:hint="eastAsia"/>
        </w:rPr>
        <w:t>被测设备</w:t>
      </w:r>
      <w:r>
        <w:t>A</w:t>
      </w:r>
      <w:r>
        <w:rPr>
          <w:rFonts w:hint="eastAsia"/>
        </w:rPr>
        <w:t>通道输入端输入频率为</w:t>
      </w:r>
      <w:r>
        <w:t xml:space="preserve">997 </w:t>
      </w:r>
      <w:r>
        <w:rPr>
          <w:rFonts w:hint="eastAsia"/>
        </w:rPr>
        <w:t>Hz、基准测量电平的正弦波测量信号，</w:t>
      </w:r>
      <w:r>
        <w:t>B</w:t>
      </w:r>
      <w:r>
        <w:rPr>
          <w:rFonts w:hint="eastAsia"/>
        </w:rPr>
        <w:t>通道输入端不加入信号，依次记录B通道输出端信号电平值</w:t>
      </w:r>
      <w:r>
        <w:rPr>
          <w:rFonts w:hint="eastAsia"/>
          <w:i/>
          <w:iCs/>
        </w:rPr>
        <w:t>U</w:t>
      </w:r>
      <w:r>
        <w:rPr>
          <w:i/>
          <w:iCs/>
          <w:vertAlign w:val="subscript"/>
        </w:rPr>
        <w:t xml:space="preserve">B,A </w:t>
      </w:r>
      <w:r>
        <w:rPr>
          <w:rFonts w:hint="eastAsia"/>
        </w:rPr>
        <w:t>，单位（dB</w:t>
      </w:r>
      <w:r>
        <w:t>u</w:t>
      </w:r>
      <w:r>
        <w:rPr>
          <w:rFonts w:hint="eastAsia"/>
        </w:rPr>
        <w:t>）；</w:t>
      </w:r>
    </w:p>
    <w:p w14:paraId="1ED4E7C2">
      <w:pPr>
        <w:pStyle w:val="177"/>
      </w:pPr>
      <w:r>
        <w:rPr>
          <w:rFonts w:hint="eastAsia"/>
        </w:rPr>
        <w:t>被测设备</w:t>
      </w:r>
      <w:r>
        <w:t>B</w:t>
      </w:r>
      <w:r>
        <w:rPr>
          <w:rFonts w:hint="eastAsia"/>
        </w:rPr>
        <w:t>通道输入端输入频率为</w:t>
      </w:r>
      <w:r>
        <w:t xml:space="preserve">997 </w:t>
      </w:r>
      <w:r>
        <w:rPr>
          <w:rFonts w:hint="eastAsia"/>
        </w:rPr>
        <w:t>Hz、基准测量电平的正弦波测量信号，</w:t>
      </w:r>
      <w:r>
        <w:t>A</w:t>
      </w:r>
      <w:r>
        <w:rPr>
          <w:rFonts w:hint="eastAsia"/>
        </w:rPr>
        <w:t>通道输入端不加入信号，依次记录</w:t>
      </w:r>
      <w:r>
        <w:t>A</w:t>
      </w:r>
      <w:r>
        <w:rPr>
          <w:rFonts w:hint="eastAsia"/>
        </w:rPr>
        <w:t>通道输出端信号电平值</w:t>
      </w:r>
      <w:r>
        <w:rPr>
          <w:rFonts w:hint="eastAsia"/>
          <w:i/>
          <w:iCs/>
        </w:rPr>
        <w:t>U</w:t>
      </w:r>
      <w:r>
        <w:rPr>
          <w:i/>
          <w:iCs/>
          <w:vertAlign w:val="subscript"/>
        </w:rPr>
        <w:t>A,B</w:t>
      </w:r>
      <w:r>
        <w:rPr>
          <w:rFonts w:hint="eastAsia"/>
        </w:rPr>
        <w:t>，单位（dB</w:t>
      </w:r>
      <w:r>
        <w:t>u</w:t>
      </w:r>
      <w:r>
        <w:rPr>
          <w:rFonts w:hint="eastAsia"/>
        </w:rPr>
        <w:t>）；</w:t>
      </w:r>
    </w:p>
    <w:p w14:paraId="3C3FF361">
      <w:pPr>
        <w:pStyle w:val="177"/>
      </w:pPr>
      <w:r>
        <w:rPr>
          <w:rFonts w:hint="eastAsia"/>
        </w:rPr>
        <w:t>A通道对B通道的串音衰减为</w:t>
      </w:r>
      <w:r>
        <w:rPr>
          <w:rFonts w:hint="eastAsia"/>
          <w:i/>
          <w:iCs/>
        </w:rPr>
        <w:t>U</w:t>
      </w:r>
      <w:r>
        <w:rPr>
          <w:i/>
          <w:iCs/>
          <w:vertAlign w:val="subscript"/>
        </w:rPr>
        <w:t>A,A</w:t>
      </w:r>
      <w:r>
        <w:rPr>
          <w:rFonts w:hint="eastAsia"/>
        </w:rPr>
        <w:t>与</w:t>
      </w:r>
      <w:r>
        <w:rPr>
          <w:rFonts w:hint="eastAsia"/>
          <w:i/>
          <w:iCs/>
        </w:rPr>
        <w:t>U</w:t>
      </w:r>
      <w:r>
        <w:rPr>
          <w:i/>
          <w:iCs/>
          <w:vertAlign w:val="subscript"/>
        </w:rPr>
        <w:t>B,A</w:t>
      </w:r>
      <w:r>
        <w:rPr>
          <w:rFonts w:hint="eastAsia"/>
        </w:rPr>
        <w:t>的差值，单位（dB）；</w:t>
      </w:r>
    </w:p>
    <w:p w14:paraId="168F2B48">
      <w:pPr>
        <w:pStyle w:val="177"/>
      </w:pPr>
      <w:r>
        <w:rPr>
          <w:rFonts w:hint="eastAsia"/>
        </w:rPr>
        <w:t>B通道对</w:t>
      </w:r>
      <w:r>
        <w:t>A</w:t>
      </w:r>
      <w:r>
        <w:rPr>
          <w:rFonts w:hint="eastAsia"/>
        </w:rPr>
        <w:t>通道的串音衰减为</w:t>
      </w:r>
      <w:r>
        <w:rPr>
          <w:rFonts w:hint="eastAsia"/>
          <w:i/>
          <w:iCs/>
        </w:rPr>
        <w:t>U</w:t>
      </w:r>
      <w:r>
        <w:rPr>
          <w:i/>
          <w:iCs/>
          <w:vertAlign w:val="subscript"/>
        </w:rPr>
        <w:t>B,B</w:t>
      </w:r>
      <w:r>
        <w:rPr>
          <w:rFonts w:hint="eastAsia"/>
        </w:rPr>
        <w:t>与</w:t>
      </w:r>
      <w:r>
        <w:rPr>
          <w:rFonts w:hint="eastAsia"/>
          <w:i/>
          <w:iCs/>
        </w:rPr>
        <w:t>U</w:t>
      </w:r>
      <w:r>
        <w:rPr>
          <w:i/>
          <w:iCs/>
          <w:vertAlign w:val="subscript"/>
        </w:rPr>
        <w:t>A,B</w:t>
      </w:r>
      <w:r>
        <w:rPr>
          <w:rFonts w:hint="eastAsia"/>
        </w:rPr>
        <w:t>的差值，单位（dB）；</w:t>
      </w:r>
    </w:p>
    <w:p w14:paraId="322BEF46">
      <w:pPr>
        <w:pStyle w:val="177"/>
      </w:pPr>
      <w:r>
        <w:rPr>
          <w:rFonts w:hint="eastAsia"/>
        </w:rPr>
        <w:t>被测设备任一相邻</w:t>
      </w:r>
      <w:r>
        <w:t>A</w:t>
      </w:r>
      <w:r>
        <w:rPr>
          <w:rFonts w:hint="eastAsia"/>
        </w:rPr>
        <w:t>通道和B通道输入端输入频率为20</w:t>
      </w:r>
      <w:r>
        <w:t xml:space="preserve"> </w:t>
      </w:r>
      <w:r>
        <w:rPr>
          <w:rFonts w:hint="eastAsia"/>
        </w:rPr>
        <w:t>Hz～20</w:t>
      </w:r>
      <w:r>
        <w:t xml:space="preserve"> k</w:t>
      </w:r>
      <w:r>
        <w:rPr>
          <w:rFonts w:hint="eastAsia"/>
        </w:rPr>
        <w:t>Hz、基准测量电平的正弦波测量信号，将该输入通道信号依次路由到相邻的两个输出通道，依次记录A通道、B通道各频率取样点下的输出端信号电平值</w:t>
      </w:r>
      <w:r>
        <w:rPr>
          <w:rFonts w:hint="eastAsia"/>
          <w:i/>
          <w:iCs/>
        </w:rPr>
        <w:t>U</w:t>
      </w:r>
      <w:r>
        <w:rPr>
          <w:i/>
          <w:iCs/>
          <w:vertAlign w:val="subscript"/>
        </w:rPr>
        <w:t>A,A</w:t>
      </w:r>
      <w:r>
        <w:rPr>
          <w:rFonts w:hint="eastAsia"/>
        </w:rPr>
        <w:t>、</w:t>
      </w:r>
      <w:r>
        <w:rPr>
          <w:rFonts w:hint="eastAsia"/>
          <w:i/>
          <w:iCs/>
        </w:rPr>
        <w:t>U</w:t>
      </w:r>
      <w:r>
        <w:rPr>
          <w:i/>
          <w:iCs/>
          <w:vertAlign w:val="subscript"/>
        </w:rPr>
        <w:t xml:space="preserve">B,B </w:t>
      </w:r>
      <w:r>
        <w:rPr>
          <w:rFonts w:hint="eastAsia"/>
        </w:rPr>
        <w:t>，单位（dB</w:t>
      </w:r>
      <w:r>
        <w:t>u</w:t>
      </w:r>
      <w:r>
        <w:rPr>
          <w:rFonts w:hint="eastAsia"/>
        </w:rPr>
        <w:t>）；</w:t>
      </w:r>
    </w:p>
    <w:p w14:paraId="27566D01">
      <w:pPr>
        <w:pStyle w:val="177"/>
      </w:pPr>
      <w:r>
        <w:rPr>
          <w:rFonts w:hint="eastAsia"/>
        </w:rPr>
        <w:t>被测设备</w:t>
      </w:r>
      <w:r>
        <w:t>A</w:t>
      </w:r>
      <w:r>
        <w:rPr>
          <w:rFonts w:hint="eastAsia"/>
        </w:rPr>
        <w:t>通道输入端输入频率为20</w:t>
      </w:r>
      <w:r>
        <w:t xml:space="preserve"> </w:t>
      </w:r>
      <w:r>
        <w:rPr>
          <w:rFonts w:hint="eastAsia"/>
        </w:rPr>
        <w:t>Hz～20</w:t>
      </w:r>
      <w:r>
        <w:t xml:space="preserve"> k</w:t>
      </w:r>
      <w:r>
        <w:rPr>
          <w:rFonts w:hint="eastAsia"/>
        </w:rPr>
        <w:t>Hz、基准测量电平的正弦波测量信号，</w:t>
      </w:r>
      <w:r>
        <w:t>B</w:t>
      </w:r>
      <w:r>
        <w:rPr>
          <w:rFonts w:hint="eastAsia"/>
        </w:rPr>
        <w:t>通道输入端不加入信号，依次记录</w:t>
      </w:r>
      <w:r>
        <w:t>B</w:t>
      </w:r>
      <w:r>
        <w:rPr>
          <w:rFonts w:hint="eastAsia"/>
        </w:rPr>
        <w:t>通道各频率取样点下的输出端信号电平值</w:t>
      </w:r>
      <w:r>
        <w:rPr>
          <w:rFonts w:hint="eastAsia"/>
          <w:i/>
          <w:iCs/>
        </w:rPr>
        <w:t>U</w:t>
      </w:r>
      <w:r>
        <w:rPr>
          <w:i/>
          <w:iCs/>
          <w:vertAlign w:val="subscript"/>
        </w:rPr>
        <w:t>B,A</w:t>
      </w:r>
      <w:r>
        <w:rPr>
          <w:rFonts w:hint="eastAsia"/>
        </w:rPr>
        <w:t>，单位（dB</w:t>
      </w:r>
      <w:r>
        <w:t>u</w:t>
      </w:r>
      <w:r>
        <w:rPr>
          <w:rFonts w:hint="eastAsia"/>
        </w:rPr>
        <w:t>）；</w:t>
      </w:r>
    </w:p>
    <w:p w14:paraId="639B837C">
      <w:pPr>
        <w:pStyle w:val="177"/>
      </w:pPr>
      <w:r>
        <w:rPr>
          <w:rFonts w:hint="eastAsia"/>
        </w:rPr>
        <w:t>被测设备</w:t>
      </w:r>
      <w:r>
        <w:t>B</w:t>
      </w:r>
      <w:r>
        <w:rPr>
          <w:rFonts w:hint="eastAsia"/>
        </w:rPr>
        <w:t>通道输入端输入频率为20</w:t>
      </w:r>
      <w:r>
        <w:t xml:space="preserve"> </w:t>
      </w:r>
      <w:r>
        <w:rPr>
          <w:rFonts w:hint="eastAsia"/>
        </w:rPr>
        <w:t>Hz～20</w:t>
      </w:r>
      <w:r>
        <w:t xml:space="preserve"> k</w:t>
      </w:r>
      <w:r>
        <w:rPr>
          <w:rFonts w:hint="eastAsia"/>
        </w:rPr>
        <w:t>Hz、基准测量电平的正弦波测量信号，</w:t>
      </w:r>
      <w:r>
        <w:t>A</w:t>
      </w:r>
      <w:r>
        <w:rPr>
          <w:rFonts w:hint="eastAsia"/>
        </w:rPr>
        <w:t>通道输入端不加入信号，依次记录</w:t>
      </w:r>
      <w:r>
        <w:t>A</w:t>
      </w:r>
      <w:r>
        <w:rPr>
          <w:rFonts w:hint="eastAsia"/>
        </w:rPr>
        <w:t>通道各频率取样点下的输出端信号电平值</w:t>
      </w:r>
      <w:r>
        <w:rPr>
          <w:rFonts w:hint="eastAsia"/>
          <w:i/>
          <w:iCs/>
        </w:rPr>
        <w:t>U</w:t>
      </w:r>
      <w:r>
        <w:rPr>
          <w:i/>
          <w:iCs/>
          <w:vertAlign w:val="subscript"/>
        </w:rPr>
        <w:t>A,B</w:t>
      </w:r>
      <w:r>
        <w:rPr>
          <w:rFonts w:hint="eastAsia"/>
        </w:rPr>
        <w:t>，单位（dB</w:t>
      </w:r>
      <w:r>
        <w:t>u</w:t>
      </w:r>
      <w:r>
        <w:rPr>
          <w:rFonts w:hint="eastAsia"/>
        </w:rPr>
        <w:t>）；</w:t>
      </w:r>
    </w:p>
    <w:p w14:paraId="4544589E">
      <w:pPr>
        <w:pStyle w:val="177"/>
      </w:pPr>
      <w:r>
        <w:rPr>
          <w:rFonts w:hint="eastAsia"/>
        </w:rPr>
        <w:t>A通道对B通道的串音衰减为</w:t>
      </w:r>
      <w:r>
        <w:rPr>
          <w:rFonts w:hint="eastAsia"/>
          <w:i/>
          <w:iCs/>
        </w:rPr>
        <w:t>U</w:t>
      </w:r>
      <w:r>
        <w:rPr>
          <w:i/>
          <w:iCs/>
          <w:vertAlign w:val="subscript"/>
        </w:rPr>
        <w:t>A,A</w:t>
      </w:r>
      <w:r>
        <w:rPr>
          <w:rFonts w:hint="eastAsia"/>
        </w:rPr>
        <w:t>与</w:t>
      </w:r>
      <w:r>
        <w:rPr>
          <w:rFonts w:hint="eastAsia"/>
          <w:i/>
          <w:iCs/>
        </w:rPr>
        <w:t>U</w:t>
      </w:r>
      <w:r>
        <w:rPr>
          <w:i/>
          <w:iCs/>
          <w:vertAlign w:val="subscript"/>
        </w:rPr>
        <w:t>B,A</w:t>
      </w:r>
      <w:r>
        <w:rPr>
          <w:rFonts w:hint="eastAsia"/>
        </w:rPr>
        <w:t>的差值中的最小值，单位（dB）；</w:t>
      </w:r>
    </w:p>
    <w:p w14:paraId="34BB2505">
      <w:pPr>
        <w:pStyle w:val="177"/>
      </w:pPr>
      <w:r>
        <w:rPr>
          <w:rFonts w:hint="eastAsia"/>
        </w:rPr>
        <w:t>B通道对</w:t>
      </w:r>
      <w:r>
        <w:t>A</w:t>
      </w:r>
      <w:r>
        <w:rPr>
          <w:rFonts w:hint="eastAsia"/>
        </w:rPr>
        <w:t>通道的串音衰减为</w:t>
      </w:r>
      <w:r>
        <w:rPr>
          <w:rFonts w:hint="eastAsia"/>
          <w:i/>
          <w:iCs/>
        </w:rPr>
        <w:t>U</w:t>
      </w:r>
      <w:r>
        <w:rPr>
          <w:i/>
          <w:iCs/>
          <w:vertAlign w:val="subscript"/>
        </w:rPr>
        <w:t>B,B</w:t>
      </w:r>
      <w:r>
        <w:rPr>
          <w:rFonts w:hint="eastAsia"/>
        </w:rPr>
        <w:t>与</w:t>
      </w:r>
      <w:r>
        <w:rPr>
          <w:rFonts w:hint="eastAsia"/>
          <w:i/>
          <w:iCs/>
        </w:rPr>
        <w:t>U</w:t>
      </w:r>
      <w:r>
        <w:rPr>
          <w:i/>
          <w:iCs/>
          <w:vertAlign w:val="subscript"/>
        </w:rPr>
        <w:t>A,B</w:t>
      </w:r>
      <w:r>
        <w:rPr>
          <w:rFonts w:hint="eastAsia"/>
        </w:rPr>
        <w:t>的差值中的最小值，单位（dB）。</w:t>
      </w:r>
    </w:p>
    <w:p w14:paraId="52E27AFF">
      <w:pPr>
        <w:pStyle w:val="97"/>
        <w:spacing w:before="156" w:after="156"/>
      </w:pPr>
      <w:bookmarkStart w:id="165" w:name="_Toc54597437"/>
      <w:bookmarkStart w:id="166" w:name="_Toc485020660"/>
      <w:bookmarkStart w:id="167" w:name="_Toc510956812"/>
      <w:bookmarkStart w:id="168" w:name="_Toc484879347"/>
      <w:bookmarkStart w:id="169" w:name="_Toc505682201"/>
      <w:r>
        <w:rPr>
          <w:rFonts w:hint="eastAsia"/>
        </w:rPr>
        <w:t>总谐波失真加噪声</w:t>
      </w:r>
      <w:bookmarkEnd w:id="165"/>
      <w:bookmarkEnd w:id="166"/>
      <w:bookmarkEnd w:id="167"/>
      <w:bookmarkEnd w:id="168"/>
      <w:bookmarkEnd w:id="169"/>
    </w:p>
    <w:p w14:paraId="5046AB46">
      <w:pPr>
        <w:pStyle w:val="59"/>
        <w:ind w:firstLine="420"/>
      </w:pPr>
      <w:r>
        <w:rPr>
          <w:rFonts w:hint="eastAsia"/>
        </w:rPr>
        <w:t>总谐波失真加噪声的测量步骤如下：</w:t>
      </w:r>
    </w:p>
    <w:p w14:paraId="65919983">
      <w:pPr>
        <w:pStyle w:val="177"/>
        <w:numPr>
          <w:ilvl w:val="0"/>
          <w:numId w:val="47"/>
        </w:numPr>
      </w:pPr>
      <w:r>
        <w:rPr>
          <w:rFonts w:hint="eastAsia"/>
        </w:rPr>
        <w:t>被测设备置于标准测量状态；</w:t>
      </w:r>
    </w:p>
    <w:p w14:paraId="45DE20D7">
      <w:pPr>
        <w:pStyle w:val="177"/>
        <w:numPr>
          <w:ilvl w:val="0"/>
          <w:numId w:val="47"/>
        </w:numPr>
      </w:pPr>
      <w:r>
        <w:rPr>
          <w:rFonts w:hint="eastAsia"/>
        </w:rPr>
        <w:t>音频信号测试仪输入端添加20</w:t>
      </w:r>
      <w:r>
        <w:t xml:space="preserve"> </w:t>
      </w:r>
      <w:r>
        <w:rPr>
          <w:rFonts w:hint="eastAsia"/>
        </w:rPr>
        <w:t>Hz～20</w:t>
      </w:r>
      <w:r>
        <w:t xml:space="preserve"> k</w:t>
      </w:r>
      <w:r>
        <w:rPr>
          <w:rFonts w:hint="eastAsia"/>
        </w:rPr>
        <w:t>Hz带通滤波器；</w:t>
      </w:r>
    </w:p>
    <w:p w14:paraId="73BFD6D1">
      <w:pPr>
        <w:pStyle w:val="177"/>
        <w:numPr>
          <w:ilvl w:val="0"/>
          <w:numId w:val="47"/>
        </w:numPr>
      </w:pPr>
      <w:r>
        <w:rPr>
          <w:rFonts w:hint="eastAsia"/>
        </w:rPr>
        <w:t>被测设备AES/EBU数字音频接口任一输入端输入频率为</w:t>
      </w:r>
      <w:r>
        <w:t xml:space="preserve">997 </w:t>
      </w:r>
      <w:r>
        <w:rPr>
          <w:rFonts w:hint="eastAsia"/>
        </w:rPr>
        <w:t>Hz、基准测量电平的正弦波测量信号；</w:t>
      </w:r>
    </w:p>
    <w:p w14:paraId="74CCE442">
      <w:pPr>
        <w:pStyle w:val="177"/>
        <w:numPr>
          <w:ilvl w:val="0"/>
          <w:numId w:val="47"/>
        </w:numPr>
      </w:pPr>
      <w:r>
        <w:rPr>
          <w:rFonts w:hint="eastAsia"/>
        </w:rPr>
        <w:t>将该输入通道信号依次路由到全部输出通道，记录输出端信号总谐波失真加噪声值；</w:t>
      </w:r>
    </w:p>
    <w:p w14:paraId="44808AEB">
      <w:pPr>
        <w:pStyle w:val="177"/>
        <w:numPr>
          <w:ilvl w:val="0"/>
          <w:numId w:val="47"/>
        </w:numPr>
      </w:pPr>
      <w:r>
        <w:rPr>
          <w:rFonts w:hint="eastAsia"/>
        </w:rPr>
        <w:t>被测设备AES/EBU数字音频接口任一输入端输入频率为20</w:t>
      </w:r>
      <w:r>
        <w:t xml:space="preserve"> </w:t>
      </w:r>
      <w:r>
        <w:rPr>
          <w:rFonts w:hint="eastAsia"/>
        </w:rPr>
        <w:t>Hz～20</w:t>
      </w:r>
      <w:r>
        <w:t xml:space="preserve"> k</w:t>
      </w:r>
      <w:r>
        <w:rPr>
          <w:rFonts w:hint="eastAsia"/>
        </w:rPr>
        <w:t>Hz、基准测量电平的正弦波测量信号；</w:t>
      </w:r>
    </w:p>
    <w:p w14:paraId="63F0BC1D">
      <w:pPr>
        <w:pStyle w:val="177"/>
        <w:numPr>
          <w:ilvl w:val="0"/>
          <w:numId w:val="47"/>
        </w:numPr>
      </w:pPr>
      <w:r>
        <w:rPr>
          <w:rFonts w:hint="eastAsia"/>
        </w:rPr>
        <w:t>记录各频率取样点下的输出端信号总谐波失真加噪声值，其中最大值为该通道的总谐波失真加噪声值。</w:t>
      </w:r>
    </w:p>
    <w:p w14:paraId="03807201">
      <w:pPr>
        <w:pStyle w:val="97"/>
        <w:spacing w:before="156" w:after="156"/>
      </w:pPr>
      <w:bookmarkStart w:id="170" w:name="_Toc54597438"/>
      <w:r>
        <w:rPr>
          <w:rFonts w:hint="eastAsia"/>
        </w:rPr>
        <w:t>互调失真</w:t>
      </w:r>
      <w:bookmarkEnd w:id="170"/>
    </w:p>
    <w:p w14:paraId="0773630B">
      <w:pPr>
        <w:pStyle w:val="233"/>
      </w:pPr>
      <w:r>
        <w:rPr>
          <w:rFonts w:hint="eastAsia"/>
        </w:rPr>
        <w:t>互调失真的测量步骤如下：</w:t>
      </w:r>
    </w:p>
    <w:p w14:paraId="43E8A553">
      <w:pPr>
        <w:pStyle w:val="177"/>
        <w:numPr>
          <w:ilvl w:val="0"/>
          <w:numId w:val="48"/>
        </w:numPr>
      </w:pPr>
      <w:r>
        <w:rPr>
          <w:rFonts w:hint="eastAsia"/>
        </w:rPr>
        <w:t>被测设备置于标准测量状态；</w:t>
      </w:r>
    </w:p>
    <w:p w14:paraId="35B131E4">
      <w:pPr>
        <w:pStyle w:val="177"/>
        <w:numPr>
          <w:ilvl w:val="0"/>
          <w:numId w:val="48"/>
        </w:numPr>
      </w:pPr>
      <w:r>
        <w:rPr>
          <w:rFonts w:hint="eastAsia"/>
        </w:rPr>
        <w:t>被测设备AES/EBU数字音频接口任一输入端输入基准测量电平的正弦波测量信号；</w:t>
      </w:r>
    </w:p>
    <w:p w14:paraId="55119505">
      <w:pPr>
        <w:pStyle w:val="177"/>
        <w:numPr>
          <w:ilvl w:val="0"/>
          <w:numId w:val="48"/>
        </w:numPr>
      </w:pPr>
      <w:r>
        <w:rPr>
          <w:rFonts w:hint="eastAsia"/>
        </w:rPr>
        <w:t>调节信号频率60</w:t>
      </w:r>
      <w:r>
        <w:t xml:space="preserve"> </w:t>
      </w:r>
      <w:r>
        <w:rPr>
          <w:rFonts w:hint="eastAsia"/>
        </w:rPr>
        <w:t>Hz、7</w:t>
      </w:r>
      <w:r>
        <w:t xml:space="preserve"> k</w:t>
      </w:r>
      <w:r>
        <w:rPr>
          <w:rFonts w:hint="eastAsia"/>
        </w:rPr>
        <w:t>Hz的幅度比为4：1；</w:t>
      </w:r>
    </w:p>
    <w:p w14:paraId="2DEE3184">
      <w:pPr>
        <w:pStyle w:val="177"/>
        <w:numPr>
          <w:ilvl w:val="0"/>
          <w:numId w:val="48"/>
        </w:numPr>
      </w:pPr>
      <w:r>
        <w:rPr>
          <w:rFonts w:hint="eastAsia"/>
        </w:rPr>
        <w:t>将该输入通道信号依次路由到全部输出通道，依次记录互调失真仪上的显示数值，即为被测设备各通道的互调失真。</w:t>
      </w:r>
    </w:p>
    <w:p w14:paraId="6C54F346">
      <w:pPr>
        <w:pStyle w:val="97"/>
        <w:spacing w:before="156" w:after="156"/>
      </w:pPr>
      <w:bookmarkStart w:id="171" w:name="_Toc484879348"/>
      <w:bookmarkStart w:id="172" w:name="_Toc505682202"/>
      <w:bookmarkStart w:id="173" w:name="_Toc510956813"/>
      <w:bookmarkStart w:id="174" w:name="_Toc485020661"/>
      <w:bookmarkStart w:id="175" w:name="_Toc54597439"/>
      <w:r>
        <w:rPr>
          <w:rFonts w:hint="eastAsia"/>
        </w:rPr>
        <w:t>相邻通道间相位差</w:t>
      </w:r>
      <w:bookmarkEnd w:id="171"/>
      <w:bookmarkEnd w:id="172"/>
      <w:bookmarkEnd w:id="173"/>
      <w:bookmarkEnd w:id="174"/>
      <w:bookmarkEnd w:id="175"/>
    </w:p>
    <w:p w14:paraId="523873D3">
      <w:pPr>
        <w:pStyle w:val="59"/>
        <w:ind w:firstLine="420"/>
      </w:pPr>
      <w:r>
        <w:rPr>
          <w:rFonts w:hint="eastAsia"/>
        </w:rPr>
        <w:t>相邻通道间相位差的测量步骤如下：</w:t>
      </w:r>
    </w:p>
    <w:p w14:paraId="78F3E7C3">
      <w:pPr>
        <w:pStyle w:val="177"/>
        <w:numPr>
          <w:ilvl w:val="0"/>
          <w:numId w:val="49"/>
        </w:numPr>
      </w:pPr>
      <w:r>
        <w:rPr>
          <w:rFonts w:hint="eastAsia"/>
        </w:rPr>
        <w:t>被测设备置于标准测量状态；</w:t>
      </w:r>
    </w:p>
    <w:p w14:paraId="74100F12">
      <w:pPr>
        <w:pStyle w:val="177"/>
        <w:numPr>
          <w:ilvl w:val="0"/>
          <w:numId w:val="49"/>
        </w:numPr>
      </w:pPr>
      <w:r>
        <w:rPr>
          <w:rFonts w:hint="eastAsia"/>
        </w:rPr>
        <w:t>被测设备AES/EBU数字音频接口任意两个相邻通道输入端输入频率为20</w:t>
      </w:r>
      <w:r>
        <w:t xml:space="preserve"> </w:t>
      </w:r>
      <w:r>
        <w:rPr>
          <w:rFonts w:hint="eastAsia"/>
        </w:rPr>
        <w:t>Hz～20</w:t>
      </w:r>
      <w:r>
        <w:t xml:space="preserve"> k</w:t>
      </w:r>
      <w:r>
        <w:rPr>
          <w:rFonts w:hint="eastAsia"/>
        </w:rPr>
        <w:t>Hz、基准测量电平的正弦波测量信号；</w:t>
      </w:r>
    </w:p>
    <w:p w14:paraId="2FAFF8EF">
      <w:pPr>
        <w:pStyle w:val="177"/>
        <w:numPr>
          <w:ilvl w:val="0"/>
          <w:numId w:val="49"/>
        </w:numPr>
      </w:pPr>
      <w:r>
        <w:rPr>
          <w:rFonts w:hint="eastAsia"/>
        </w:rPr>
        <w:t>将该输入通道信号依次路由到相邻的两个输出通道，记录各频率取样点下的输出端信号相位差值；</w:t>
      </w:r>
    </w:p>
    <w:p w14:paraId="4EC4A7C7">
      <w:pPr>
        <w:pStyle w:val="177"/>
        <w:numPr>
          <w:ilvl w:val="0"/>
          <w:numId w:val="49"/>
        </w:numPr>
      </w:pPr>
      <w:r>
        <w:rPr>
          <w:rFonts w:hint="eastAsia"/>
        </w:rPr>
        <w:t>其中最大相位差为该组相邻通道间的相位差。</w:t>
      </w:r>
    </w:p>
    <w:p w14:paraId="29F93C1D">
      <w:pPr>
        <w:pStyle w:val="68"/>
        <w:spacing w:before="156" w:after="156"/>
        <w:jc w:val="left"/>
      </w:pPr>
      <w:bookmarkStart w:id="176" w:name="_Toc484876044"/>
      <w:bookmarkStart w:id="177" w:name="_Toc485020688"/>
      <w:bookmarkStart w:id="178" w:name="_Toc484879375"/>
      <w:bookmarkStart w:id="179" w:name="_Toc505682243"/>
      <w:bookmarkStart w:id="180" w:name="_Toc484879313"/>
      <w:bookmarkStart w:id="181" w:name="_Toc510956845"/>
      <w:bookmarkStart w:id="182" w:name="_Toc19002069"/>
      <w:bookmarkStart w:id="183" w:name="_Toc203577740"/>
      <w:bookmarkStart w:id="184" w:name="_Toc19000985"/>
      <w:bookmarkStart w:id="185" w:name="_Toc511288861"/>
      <w:bookmarkStart w:id="186" w:name="_Toc54597472"/>
      <w:r>
        <w:rPr>
          <w:rFonts w:hint="eastAsia"/>
        </w:rPr>
        <w:t>设备可靠性和稳定性</w:t>
      </w:r>
      <w:bookmarkEnd w:id="176"/>
      <w:bookmarkEnd w:id="177"/>
      <w:bookmarkEnd w:id="178"/>
      <w:bookmarkEnd w:id="179"/>
      <w:bookmarkEnd w:id="180"/>
      <w:bookmarkEnd w:id="181"/>
      <w:r>
        <w:rPr>
          <w:rFonts w:hint="eastAsia"/>
        </w:rPr>
        <w:t>的测量方法</w:t>
      </w:r>
      <w:bookmarkEnd w:id="182"/>
      <w:bookmarkEnd w:id="183"/>
      <w:bookmarkEnd w:id="184"/>
      <w:bookmarkEnd w:id="185"/>
      <w:bookmarkEnd w:id="186"/>
    </w:p>
    <w:p w14:paraId="409D0BA8">
      <w:pPr>
        <w:pStyle w:val="97"/>
        <w:spacing w:before="156" w:after="156"/>
      </w:pPr>
      <w:r>
        <w:rPr>
          <w:rFonts w:hint="eastAsia"/>
        </w:rPr>
        <w:t>温湿度适应能力</w:t>
      </w:r>
    </w:p>
    <w:p w14:paraId="47FB1E74">
      <w:pPr>
        <w:pStyle w:val="233"/>
      </w:pPr>
      <w:r>
        <w:rPr>
          <w:rFonts w:hint="eastAsia"/>
        </w:rPr>
        <w:t>应按照DY/T 6—2021中5.5.4规定的测量步骤进行测量。</w:t>
      </w:r>
    </w:p>
    <w:p w14:paraId="1A36B5A6">
      <w:pPr>
        <w:pStyle w:val="97"/>
        <w:spacing w:before="156" w:after="156"/>
      </w:pPr>
      <w:bookmarkStart w:id="187" w:name="_Toc54597476"/>
      <w:bookmarkStart w:id="188" w:name="_Toc510956847"/>
      <w:r>
        <w:rPr>
          <w:rFonts w:hint="eastAsia"/>
        </w:rPr>
        <w:t>电源适应范围</w:t>
      </w:r>
      <w:bookmarkEnd w:id="187"/>
      <w:bookmarkEnd w:id="188"/>
    </w:p>
    <w:p w14:paraId="696E4D34">
      <w:pPr>
        <w:pStyle w:val="233"/>
      </w:pPr>
      <w:r>
        <w:rPr>
          <w:rFonts w:hint="eastAsia"/>
        </w:rPr>
        <w:t>应按照DY/T 6—2021中5.5.4规定的测量步骤进行测量。</w:t>
      </w:r>
    </w:p>
    <w:p w14:paraId="6299879C">
      <w:pPr>
        <w:pStyle w:val="97"/>
        <w:spacing w:before="156" w:after="156"/>
      </w:pPr>
      <w:bookmarkStart w:id="189" w:name="_Toc484879378"/>
      <w:bookmarkStart w:id="190" w:name="_Toc510956849"/>
      <w:bookmarkStart w:id="191" w:name="_Toc54597477"/>
      <w:bookmarkStart w:id="192" w:name="_Toc485020691"/>
      <w:bookmarkStart w:id="193" w:name="_Toc505682246"/>
      <w:r>
        <w:rPr>
          <w:rFonts w:hint="eastAsia"/>
        </w:rPr>
        <w:t>断电保护</w:t>
      </w:r>
      <w:bookmarkEnd w:id="189"/>
      <w:bookmarkEnd w:id="190"/>
      <w:bookmarkEnd w:id="191"/>
      <w:bookmarkEnd w:id="192"/>
      <w:bookmarkEnd w:id="193"/>
    </w:p>
    <w:p w14:paraId="71F17C24">
      <w:pPr>
        <w:pStyle w:val="233"/>
      </w:pPr>
      <w:r>
        <w:rPr>
          <w:rFonts w:hint="eastAsia"/>
        </w:rPr>
        <w:t>应按照DY/T 6—2021中5.5.5规定的测量步骤进行测量。</w:t>
      </w:r>
    </w:p>
    <w:p w14:paraId="52185ED1">
      <w:pPr>
        <w:pStyle w:val="97"/>
        <w:spacing w:before="156" w:after="156"/>
      </w:pPr>
      <w:bookmarkStart w:id="194" w:name="_Toc505682247"/>
      <w:bookmarkStart w:id="195" w:name="_Toc484879379"/>
      <w:bookmarkStart w:id="196" w:name="_Toc485020692"/>
      <w:bookmarkStart w:id="197" w:name="_Toc510956850"/>
      <w:bookmarkStart w:id="198" w:name="_Toc54597478"/>
      <w:r>
        <w:rPr>
          <w:rFonts w:hint="eastAsia"/>
        </w:rPr>
        <w:t>规范操作</w:t>
      </w:r>
      <w:bookmarkEnd w:id="194"/>
      <w:bookmarkEnd w:id="195"/>
      <w:bookmarkEnd w:id="196"/>
      <w:bookmarkEnd w:id="197"/>
      <w:bookmarkEnd w:id="198"/>
    </w:p>
    <w:p w14:paraId="4828B31C">
      <w:pPr>
        <w:pStyle w:val="233"/>
      </w:pPr>
      <w:r>
        <w:rPr>
          <w:rFonts w:hint="eastAsia"/>
        </w:rPr>
        <w:t>应按照DY/T 6—2021中5.5.6规定的测量步骤进行测量。</w:t>
      </w:r>
    </w:p>
    <w:p w14:paraId="2B05C276">
      <w:pPr>
        <w:pStyle w:val="59"/>
        <w:ind w:firstLine="0" w:firstLineChars="0"/>
        <w:sectPr>
          <w:headerReference r:id="rId17" w:type="default"/>
          <w:footerReference r:id="rId19" w:type="default"/>
          <w:headerReference r:id="rId18" w:type="even"/>
          <w:footerReference r:id="rId20" w:type="even"/>
          <w:pgSz w:w="11906" w:h="16838"/>
          <w:pgMar w:top="1871" w:right="1134" w:bottom="1134" w:left="1134" w:header="1418" w:footer="1134" w:gutter="284"/>
          <w:pgNumType w:start="1"/>
          <w:cols w:space="425" w:num="1"/>
          <w:formProt w:val="0"/>
          <w:docGrid w:type="lines" w:linePitch="312" w:charSpace="0"/>
        </w:sectPr>
      </w:pPr>
    </w:p>
    <w:bookmarkEnd w:id="24"/>
    <w:p w14:paraId="1D53B58C">
      <w:pPr>
        <w:pStyle w:val="201"/>
        <w:rPr>
          <w:vanish w:val="0"/>
        </w:rPr>
      </w:pPr>
      <w:bookmarkStart w:id="199" w:name="BookMark5"/>
    </w:p>
    <w:p w14:paraId="3E051BB7">
      <w:pPr>
        <w:pStyle w:val="202"/>
        <w:rPr>
          <w:vanish w:val="0"/>
        </w:rPr>
      </w:pPr>
    </w:p>
    <w:p w14:paraId="381C7AA1">
      <w:pPr>
        <w:pStyle w:val="79"/>
        <w:spacing w:before="60" w:after="120"/>
      </w:pPr>
      <w:bookmarkStart w:id="200" w:name="_Toc6189"/>
      <w:r>
        <w:br w:type="textWrapping"/>
      </w:r>
      <w:bookmarkStart w:id="201" w:name="_Toc203577741"/>
      <w:r>
        <w:rPr>
          <w:rFonts w:hint="eastAsia"/>
        </w:rPr>
        <w:t>（规范性）</w:t>
      </w:r>
      <w:r>
        <w:br w:type="textWrapping"/>
      </w:r>
      <w:r>
        <w:rPr>
          <w:rFonts w:hint="eastAsia"/>
        </w:rPr>
        <w:t>影院音频对象位置元数据与影厅空间信息的映射关系</w:t>
      </w:r>
      <w:bookmarkEnd w:id="200"/>
      <w:bookmarkEnd w:id="201"/>
    </w:p>
    <w:p w14:paraId="6EC3C0DC">
      <w:pPr>
        <w:pStyle w:val="59"/>
        <w:ind w:firstLine="420"/>
      </w:pPr>
      <w:r>
        <w:rPr>
          <w:rFonts w:hint="eastAsia"/>
        </w:rPr>
        <w:t>数字影院沉浸式音频还音系统的沉浸式音频文件对象位置元数据应使用左手笛卡尔坐标系表示音频对象的位置，该坐标系使用三个正交轴（</w:t>
      </w:r>
      <w:r>
        <w:rPr>
          <w:i/>
          <w:iCs/>
        </w:rPr>
        <w:t>x</w:t>
      </w:r>
      <w:r>
        <w:rPr>
          <w:rFonts w:hint="eastAsia"/>
        </w:rPr>
        <w:t>，</w:t>
      </w:r>
      <w:r>
        <w:rPr>
          <w:i/>
          <w:iCs/>
        </w:rPr>
        <w:t>y</w:t>
      </w:r>
      <w:r>
        <w:rPr>
          <w:rFonts w:hint="eastAsia"/>
        </w:rPr>
        <w:t>，</w:t>
      </w:r>
      <w:r>
        <w:rPr>
          <w:i/>
          <w:iCs/>
        </w:rPr>
        <w:t>z</w:t>
      </w:r>
      <w:r>
        <w:rPr>
          <w:rFonts w:hint="eastAsia"/>
        </w:rPr>
        <w:t>）来定位空间中相对于原点的一个点。其中，</w:t>
      </w:r>
      <w:r>
        <w:rPr>
          <w:i/>
          <w:iCs/>
        </w:rPr>
        <w:t>x</w:t>
      </w:r>
      <w:r>
        <w:rPr>
          <w:rFonts w:hint="eastAsia"/>
        </w:rPr>
        <w:t>轴代表影厅横向/左右位置，</w:t>
      </w:r>
      <w:r>
        <w:rPr>
          <w:i/>
          <w:iCs/>
        </w:rPr>
        <w:t>y</w:t>
      </w:r>
      <w:r>
        <w:rPr>
          <w:rFonts w:hint="eastAsia"/>
        </w:rPr>
        <w:t>轴代表影厅纵向/前后位置，</w:t>
      </w:r>
      <w:r>
        <w:rPr>
          <w:i/>
          <w:iCs/>
        </w:rPr>
        <w:t>z</w:t>
      </w:r>
      <w:r>
        <w:rPr>
          <w:rFonts w:hint="eastAsia"/>
        </w:rPr>
        <w:t>轴代表影厅高度/上下位置，见图A.1。</w:t>
      </w:r>
    </w:p>
    <w:p w14:paraId="5347D6A9">
      <w:pPr>
        <w:pStyle w:val="59"/>
        <w:ind w:firstLine="0" w:firstLineChars="0"/>
        <w:jc w:val="center"/>
      </w:pPr>
      <w:r>
        <w:rPr>
          <w:rFonts w:hint="eastAsia"/>
        </w:rPr>
        <w:drawing>
          <wp:inline distT="0" distB="0" distL="114300" distR="114300">
            <wp:extent cx="2385060" cy="2270760"/>
            <wp:effectExtent l="0" t="0" r="7620" b="0"/>
            <wp:docPr id="1" name="图片 1" descr="左手坐标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左手坐标系"/>
                    <pic:cNvPicPr>
                      <a:picLocks noChangeAspect="1"/>
                    </pic:cNvPicPr>
                  </pic:nvPicPr>
                  <pic:blipFill>
                    <a:blip r:embed="rId22"/>
                    <a:srcRect l="17594" t="6592" r="43523" b="27607"/>
                    <a:stretch>
                      <a:fillRect/>
                    </a:stretch>
                  </pic:blipFill>
                  <pic:spPr>
                    <a:xfrm>
                      <a:off x="0" y="0"/>
                      <a:ext cx="2385060" cy="2270760"/>
                    </a:xfrm>
                    <a:prstGeom prst="rect">
                      <a:avLst/>
                    </a:prstGeom>
                  </pic:spPr>
                </pic:pic>
              </a:graphicData>
            </a:graphic>
          </wp:inline>
        </w:drawing>
      </w:r>
    </w:p>
    <w:p w14:paraId="0D858073">
      <w:pPr>
        <w:pStyle w:val="59"/>
        <w:numPr>
          <w:ilvl w:val="1"/>
          <w:numId w:val="50"/>
        </w:numPr>
        <w:ind w:firstLine="420"/>
        <w:jc w:val="center"/>
      </w:pPr>
      <w:r>
        <w:rPr>
          <w:rFonts w:hint="eastAsia"/>
        </w:rPr>
        <w:t>左手笛卡尔坐标系</w:t>
      </w:r>
    </w:p>
    <w:p w14:paraId="281B1EFB">
      <w:pPr>
        <w:pStyle w:val="59"/>
        <w:numPr>
          <w:ilvl w:val="0"/>
          <w:numId w:val="50"/>
        </w:numPr>
        <w:ind w:firstLine="420"/>
        <w:rPr>
          <w:vanish/>
        </w:rPr>
      </w:pPr>
      <w:r>
        <w:rPr>
          <w:rFonts w:hint="eastAsia"/>
          <w:vanish/>
        </w:rPr>
        <w:t>音频对象位置笛卡尔坐标值相对于影厅的参考点进来了归一化。</w:t>
      </w:r>
    </w:p>
    <w:p w14:paraId="5D095B49">
      <w:pPr>
        <w:pStyle w:val="59"/>
        <w:numPr>
          <w:ilvl w:val="0"/>
          <w:numId w:val="50"/>
        </w:numPr>
        <w:ind w:firstLine="420"/>
        <w:rPr>
          <w:vanish/>
        </w:rPr>
      </w:pPr>
      <w:r>
        <w:rPr>
          <w:rFonts w:hint="eastAsia"/>
          <w:vanish/>
        </w:rPr>
        <w:t>音频对象位置笛卡尔坐标值相对于影厅的参考点进来了归一化。</w:t>
      </w:r>
    </w:p>
    <w:p w14:paraId="1C92CAF7">
      <w:pPr>
        <w:pStyle w:val="59"/>
        <w:ind w:firstLine="420"/>
      </w:pPr>
      <w:r>
        <w:rPr>
          <w:rFonts w:hint="eastAsia"/>
        </w:rPr>
        <w:t>音频对象位置相对于影厅参考点的左手笛卡尔坐标值进行了归一化处理，（</w:t>
      </w:r>
      <w:r>
        <w:rPr>
          <w:i/>
          <w:iCs/>
        </w:rPr>
        <w:t>x</w:t>
      </w:r>
      <w:r>
        <w:rPr>
          <w:rFonts w:hint="eastAsia"/>
        </w:rPr>
        <w:t>，</w:t>
      </w:r>
      <w:r>
        <w:rPr>
          <w:i/>
          <w:iCs/>
        </w:rPr>
        <w:t>y</w:t>
      </w:r>
      <w:r>
        <w:rPr>
          <w:rFonts w:hint="eastAsia"/>
        </w:rPr>
        <w:t>，</w:t>
      </w:r>
      <w:r>
        <w:rPr>
          <w:i/>
          <w:iCs/>
        </w:rPr>
        <w:t>z</w:t>
      </w:r>
      <w:r>
        <w:rPr>
          <w:rFonts w:hint="eastAsia"/>
        </w:rPr>
        <w:t>）坐标值范围从（0,0,0）到（1,1,1），相对于影厅回放环境的位置，原点为影厅的左前角，</w:t>
      </w:r>
      <w:r>
        <w:rPr>
          <w:i/>
          <w:iCs/>
        </w:rPr>
        <w:t>x</w:t>
      </w:r>
      <w:r>
        <w:t>=</w:t>
      </w:r>
      <w:r>
        <w:rPr>
          <w:rFonts w:hint="eastAsia"/>
        </w:rPr>
        <w:t>0对应于影厅左墙位置，</w:t>
      </w:r>
      <w:r>
        <w:rPr>
          <w:i/>
          <w:iCs/>
        </w:rPr>
        <w:t>x</w:t>
      </w:r>
      <w:r>
        <w:t>=</w:t>
      </w:r>
      <w:r>
        <w:rPr>
          <w:rFonts w:hint="eastAsia"/>
        </w:rPr>
        <w:t>1对应于影厅右墙位置，</w:t>
      </w:r>
      <w:r>
        <w:rPr>
          <w:i/>
          <w:iCs/>
        </w:rPr>
        <w:t>y</w:t>
      </w:r>
      <w:r>
        <w:t>=</w:t>
      </w:r>
      <w:r>
        <w:rPr>
          <w:rFonts w:hint="eastAsia"/>
        </w:rPr>
        <w:t>0对应于影厅前墙位置，</w:t>
      </w:r>
      <w:r>
        <w:rPr>
          <w:i/>
          <w:iCs/>
        </w:rPr>
        <w:t>y</w:t>
      </w:r>
      <w:r>
        <w:t>=</w:t>
      </w:r>
      <w:r>
        <w:rPr>
          <w:rFonts w:hint="eastAsia"/>
        </w:rPr>
        <w:t>1对应于影厅后墙位置，</w:t>
      </w:r>
      <w:r>
        <w:rPr>
          <w:i/>
          <w:iCs/>
        </w:rPr>
        <w:t>z</w:t>
      </w:r>
      <w:r>
        <w:t>=</w:t>
      </w:r>
      <w:r>
        <w:rPr>
          <w:rFonts w:hint="eastAsia"/>
        </w:rPr>
        <w:t>0对应于主声道和环绕声道扬声器系统声辐射中心所在位置，</w:t>
      </w:r>
      <w:r>
        <w:rPr>
          <w:i/>
          <w:iCs/>
        </w:rPr>
        <w:t>z</w:t>
      </w:r>
      <w:r>
        <w:t>=</w:t>
      </w:r>
      <w:r>
        <w:rPr>
          <w:rFonts w:hint="eastAsia"/>
        </w:rPr>
        <w:t>1对应于影厅天花位置。</w:t>
      </w:r>
    </w:p>
    <w:p w14:paraId="24C6A40B">
      <w:pPr>
        <w:pStyle w:val="59"/>
        <w:ind w:firstLine="420"/>
      </w:pPr>
      <w:r>
        <w:rPr>
          <w:rFonts w:hint="eastAsia"/>
        </w:rPr>
        <w:t>音频对象位置映射到影厅回放环境的位置关系实例：（0,0,0）位置代表影厅的左前角，高度为左声道扬声器系统声辐射中心位置，（1,0,0）位置代表影厅的右前角，高度为右声道扬声器系统声辐射中心位置，（0.5,0.5,1）代表影厅天花中心位置。</w:t>
      </w:r>
    </w:p>
    <w:p w14:paraId="3E93D3CD">
      <w:pPr>
        <w:pStyle w:val="59"/>
        <w:ind w:firstLine="420"/>
        <w:sectPr>
          <w:pgSz w:w="12240" w:h="15840"/>
          <w:pgMar w:top="1440" w:right="1800" w:bottom="1440" w:left="1800" w:header="720" w:footer="720" w:gutter="0"/>
          <w:cols w:space="720" w:num="1"/>
        </w:sectPr>
      </w:pPr>
      <w:r>
        <w:rPr>
          <w:rFonts w:hint="eastAsia"/>
        </w:rPr>
        <w:t xml:space="preserve"> </w:t>
      </w:r>
    </w:p>
    <w:p w14:paraId="2BE7E87E">
      <w:pPr>
        <w:pStyle w:val="201"/>
        <w:rPr>
          <w:vanish w:val="0"/>
        </w:rPr>
      </w:pPr>
    </w:p>
    <w:p w14:paraId="11FA1E92">
      <w:pPr>
        <w:pStyle w:val="202"/>
        <w:rPr>
          <w:vanish w:val="0"/>
        </w:rPr>
      </w:pPr>
    </w:p>
    <w:p w14:paraId="5BDD786C">
      <w:pPr>
        <w:pStyle w:val="79"/>
        <w:spacing w:before="78" w:after="156"/>
      </w:pPr>
      <w:bookmarkStart w:id="202" w:name="_Toc13981"/>
      <w:r>
        <w:br w:type="textWrapping"/>
      </w:r>
      <w:bookmarkStart w:id="203" w:name="_Toc203577742"/>
      <w:r>
        <w:rPr>
          <w:rFonts w:hint="eastAsia"/>
        </w:rPr>
        <w:t>（规范性）</w:t>
      </w:r>
      <w:r>
        <w:br w:type="textWrapping"/>
      </w:r>
      <w:r>
        <w:rPr>
          <w:rFonts w:hint="eastAsia"/>
        </w:rPr>
        <w:t>影院音频对象位置元数据与三维声位置元数据映射关系</w:t>
      </w:r>
      <w:bookmarkEnd w:id="202"/>
      <w:bookmarkEnd w:id="203"/>
    </w:p>
    <w:p w14:paraId="05B86871">
      <w:pPr>
        <w:pStyle w:val="59"/>
        <w:ind w:firstLine="420"/>
      </w:pPr>
      <w:r>
        <w:rPr>
          <w:rFonts w:hint="eastAsia" w:hAnsi="宋体"/>
        </w:rPr>
        <w:t xml:space="preserve"> </w:t>
      </w:r>
      <w:r>
        <w:rPr>
          <w:rFonts w:hAnsi="宋体"/>
        </w:rPr>
        <w:t>GB/T 46271</w:t>
      </w:r>
      <w:r>
        <w:rPr>
          <w:rFonts w:hint="eastAsia" w:hAnsi="宋体"/>
        </w:rPr>
        <w:t>—</w:t>
      </w:r>
      <w:r>
        <w:rPr>
          <w:rFonts w:hAnsi="宋体"/>
        </w:rPr>
        <w:t>2025</w:t>
      </w:r>
      <w:r>
        <w:rPr>
          <w:rFonts w:hint="eastAsia" w:hAnsi="宋体"/>
        </w:rPr>
        <w:t>规定了三维声的编解码及渲染标准，音频对象位置元数据的定义符合ITU</w:t>
      </w:r>
      <w:r>
        <w:rPr>
          <w:rFonts w:hint="eastAsia"/>
        </w:rPr>
        <w:t>-</w:t>
      </w:r>
      <w:r>
        <w:rPr>
          <w:rFonts w:hint="eastAsia" w:hAnsi="宋体"/>
        </w:rPr>
        <w:t>R</w:t>
      </w:r>
      <w:r>
        <w:rPr>
          <w:rFonts w:hint="eastAsia"/>
        </w:rPr>
        <w:t xml:space="preserve"> </w:t>
      </w:r>
      <w:r>
        <w:rPr>
          <w:rFonts w:hint="eastAsia" w:hAnsi="宋体"/>
        </w:rPr>
        <w:t>BS.2076</w:t>
      </w:r>
      <w:r>
        <w:rPr>
          <w:rFonts w:hint="eastAsia"/>
        </w:rPr>
        <w:t xml:space="preserve">-2 </w:t>
      </w:r>
      <w:r>
        <w:rPr>
          <w:rFonts w:hint="eastAsia" w:hAnsi="宋体"/>
        </w:rPr>
        <w:t>ADM标准定义。</w:t>
      </w:r>
    </w:p>
    <w:p w14:paraId="6FF66849">
      <w:pPr>
        <w:pStyle w:val="59"/>
        <w:ind w:firstLine="420"/>
      </w:pPr>
      <w:r>
        <w:rPr>
          <w:rFonts w:hint="eastAsia"/>
        </w:rPr>
        <w:t>三维声</w:t>
      </w:r>
      <w:r>
        <w:rPr>
          <w:rFonts w:hint="eastAsia" w:hAnsi="宋体"/>
        </w:rPr>
        <w:t>音频对象位置坐标系的原点为甜点位置，即测听者位于房间中心位置，且面向屏幕方向。（</w:t>
      </w:r>
      <w:r>
        <w:rPr>
          <w:rFonts w:ascii="Times New Roman"/>
          <w:i/>
          <w:iCs/>
        </w:rPr>
        <w:t>x</w:t>
      </w:r>
      <w:r>
        <w:rPr>
          <w:rFonts w:hint="eastAsia" w:hAnsi="宋体"/>
        </w:rPr>
        <w:t>，</w:t>
      </w:r>
      <w:r>
        <w:rPr>
          <w:rFonts w:ascii="Times New Roman"/>
          <w:i/>
          <w:iCs/>
        </w:rPr>
        <w:t>y</w:t>
      </w:r>
      <w:r>
        <w:rPr>
          <w:rFonts w:hint="eastAsia" w:hAnsi="宋体"/>
        </w:rPr>
        <w:t>）平面位于主声道和环绕声道扬声器系统声中心所在水平面。（</w:t>
      </w:r>
      <w:r>
        <w:rPr>
          <w:rFonts w:ascii="Times New Roman"/>
          <w:i/>
          <w:iCs/>
        </w:rPr>
        <w:t>x</w:t>
      </w:r>
      <w:r>
        <w:rPr>
          <w:rFonts w:hint="eastAsia" w:hAnsi="宋体"/>
        </w:rPr>
        <w:t>，</w:t>
      </w:r>
      <w:r>
        <w:rPr>
          <w:rFonts w:ascii="Times New Roman"/>
          <w:i/>
          <w:iCs/>
        </w:rPr>
        <w:t>y</w:t>
      </w:r>
      <w:r>
        <w:rPr>
          <w:rFonts w:hint="eastAsia" w:hAnsi="宋体"/>
        </w:rPr>
        <w:t>，</w:t>
      </w:r>
      <w:r>
        <w:rPr>
          <w:rFonts w:ascii="Times New Roman"/>
          <w:i/>
          <w:iCs/>
        </w:rPr>
        <w:t>z</w:t>
      </w:r>
      <w:r>
        <w:rPr>
          <w:rFonts w:hint="eastAsia" w:hAnsi="宋体"/>
        </w:rPr>
        <w:t>）坐标轴中，</w:t>
      </w:r>
      <w:r>
        <w:rPr>
          <w:rFonts w:ascii="Times New Roman"/>
          <w:i/>
          <w:iCs/>
        </w:rPr>
        <w:t>x</w:t>
      </w:r>
      <w:r>
        <w:rPr>
          <w:rFonts w:hint="eastAsia" w:hAnsi="宋体"/>
        </w:rPr>
        <w:t>轴为左右方向，其中右方为正方向，</w:t>
      </w:r>
      <w:r>
        <w:rPr>
          <w:rFonts w:ascii="Times New Roman"/>
          <w:i/>
          <w:iCs/>
        </w:rPr>
        <w:t>y</w:t>
      </w:r>
      <w:r>
        <w:rPr>
          <w:rFonts w:hint="eastAsia" w:hAnsi="宋体"/>
        </w:rPr>
        <w:t>轴为前后方向，其中前方为正方向，</w:t>
      </w:r>
      <w:r>
        <w:rPr>
          <w:rFonts w:ascii="Times New Roman"/>
          <w:i/>
          <w:iCs/>
        </w:rPr>
        <w:t>z</w:t>
      </w:r>
      <w:r>
        <w:rPr>
          <w:rFonts w:hint="eastAsia" w:hAnsi="宋体"/>
        </w:rPr>
        <w:t>轴为上下方向，其中上方为正方向。</w:t>
      </w:r>
      <w:r>
        <w:rPr>
          <w:rFonts w:ascii="Times New Roman"/>
          <w:i/>
          <w:iCs/>
        </w:rPr>
        <w:t>x</w:t>
      </w:r>
      <w:r>
        <w:rPr>
          <w:rFonts w:hint="eastAsia" w:hAnsi="宋体"/>
          <w:i/>
          <w:iCs/>
        </w:rPr>
        <w:t>、</w:t>
      </w:r>
      <w:r>
        <w:rPr>
          <w:rFonts w:ascii="Times New Roman"/>
          <w:i/>
          <w:iCs/>
        </w:rPr>
        <w:t>y</w:t>
      </w:r>
      <w:r>
        <w:rPr>
          <w:rFonts w:hint="eastAsia" w:hAnsi="宋体"/>
          <w:i/>
          <w:iCs/>
        </w:rPr>
        <w:t>、</w:t>
      </w:r>
      <w:r>
        <w:rPr>
          <w:rFonts w:ascii="Times New Roman"/>
          <w:i/>
          <w:iCs/>
        </w:rPr>
        <w:t>z</w:t>
      </w:r>
      <w:r>
        <w:rPr>
          <w:rFonts w:hint="eastAsia" w:hAnsi="宋体"/>
        </w:rPr>
        <w:t>轴坐标的取值范围均为[</w:t>
      </w:r>
      <w:r>
        <w:rPr>
          <w:rFonts w:hint="eastAsia"/>
        </w:rPr>
        <w:t>-1,1]</w:t>
      </w:r>
      <w:r>
        <w:rPr>
          <w:rFonts w:hint="eastAsia" w:hAnsi="宋体"/>
        </w:rPr>
        <w:t>。</w:t>
      </w:r>
    </w:p>
    <w:p w14:paraId="722CB1CC">
      <w:pPr>
        <w:pStyle w:val="59"/>
        <w:ind w:firstLine="420"/>
      </w:pPr>
      <w:r>
        <w:rPr>
          <w:rFonts w:hint="eastAsia" w:hAnsi="宋体"/>
        </w:rPr>
        <w:t>将附录A中影院音频对象位置元数据转换为三维声位置元数据时，转换公式应符合公式（B.1）～公式（B.</w:t>
      </w:r>
      <w:r>
        <w:rPr>
          <w:rFonts w:hint="eastAsia"/>
        </w:rPr>
        <w:t>3</w:t>
      </w:r>
      <w:r>
        <w:rPr>
          <w:rFonts w:hint="eastAsia" w:hAnsi="宋体"/>
        </w:rPr>
        <w:t>）。</w:t>
      </w:r>
    </w:p>
    <w:p w14:paraId="1C5CDCEC">
      <w:pPr>
        <w:pStyle w:val="116"/>
      </w:pPr>
      <w:r>
        <w:rPr>
          <w:rFonts w:hint="eastAsia"/>
        </w:rPr>
        <w:tab/>
      </w:r>
      <m:oMath>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x</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=2.0</m:t>
        </m:r>
        <m:r>
          <m:rPr/>
          <w:rPr>
            <w:rFonts w:hint="default" w:ascii="Cambria Math" w:hAnsi="Cambria Math" w:cs="Cambria Math"/>
            <w:kern w:val="2"/>
            <w:sz w:val="21"/>
            <w:szCs w:val="21"/>
            <w:lang w:val="en-US" w:eastAsia="zh-CN" w:bidi="ar-SA"/>
          </w:rPr>
          <m:t>×</m:t>
        </m:r>
        <m:sSub>
          <m:sSubPr>
            <m:ctrlPr>
              <w:rPr>
                <w:rFonts w:hint="default" w:ascii="Cambria Math" w:hAnsi="Cambria Math" w:cs="Cambria Math"/>
                <w:i/>
                <w:kern w:val="2"/>
                <w:sz w:val="21"/>
                <w:szCs w:val="21"/>
                <w:lang w:val="en-US" w:eastAsia="zh-CN" w:bidi="ar-SA"/>
              </w:rPr>
            </m:ctrlPr>
          </m:sSubPr>
          <m:e>
            <m:r>
              <m:rPr/>
              <w:rPr>
                <w:rFonts w:hint="default" w:ascii="Cambria Math" w:hAnsi="Cambria Math" w:cs="Cambria Math"/>
                <w:kern w:val="2"/>
                <w:sz w:val="21"/>
                <w:szCs w:val="21"/>
                <w:lang w:val="en-US" w:eastAsia="zh-CN" w:bidi="ar-SA"/>
              </w:rPr>
              <m:t>x</m:t>
            </m:r>
            <m:ctrlPr>
              <w:rPr>
                <w:rFonts w:hint="default" w:ascii="Cambria Math" w:hAnsi="Cambria Math" w:cs="Cambria Math"/>
                <w:i/>
                <w:kern w:val="2"/>
                <w:sz w:val="21"/>
                <w:szCs w:val="21"/>
                <w:lang w:val="en-US" w:eastAsia="zh-CN" w:bidi="ar-SA"/>
              </w:rPr>
            </m:ctrlPr>
          </m:e>
          <m:sub>
            <m:r>
              <m:rPr/>
              <w:rPr>
                <w:rFonts w:hint="default" w:ascii="Cambria Math" w:hAnsi="Cambria Math" w:cs="Cambria Math"/>
                <w:kern w:val="2"/>
                <w:sz w:val="21"/>
                <w:szCs w:val="21"/>
                <w:lang w:val="en-US" w:eastAsia="zh-CN" w:bidi="ar-SA"/>
              </w:rPr>
              <m:t>th</m:t>
            </m:r>
            <m:ctrlPr>
              <w:rPr>
                <w:rFonts w:hint="default" w:ascii="Cambria Math" w:hAnsi="Cambria Math" w:cs="Cambria Math"/>
                <w:i/>
                <w:kern w:val="2"/>
                <w:sz w:val="21"/>
                <w:szCs w:val="21"/>
                <w:lang w:val="en-US" w:eastAsia="zh-CN" w:bidi="ar-SA"/>
              </w:rPr>
            </m:ctrlPr>
          </m:sub>
        </m:sSub>
        <m:r>
          <m:rPr/>
          <w:rPr>
            <w:rFonts w:hint="default" w:ascii="Cambria Math" w:hAnsi="Cambria Math" w:cs="Cambria Math"/>
            <w:kern w:val="2"/>
            <w:sz w:val="21"/>
            <w:szCs w:val="21"/>
            <w:lang w:val="en-US" w:eastAsia="zh-CN" w:bidi="ar-SA"/>
          </w:rPr>
          <m:t>−1.0</m:t>
        </m:r>
      </m:oMath>
      <w:r>
        <w:rPr>
          <w:rFonts w:hint="eastAsia" w:ascii="微软雅黑" w:hAnsi="微软雅黑" w:eastAsia="微软雅黑"/>
        </w:rPr>
        <w:tab/>
      </w:r>
      <w:r>
        <w:rPr>
          <w:rFonts w:hint="eastAsia"/>
        </w:rPr>
        <w:t>(B.1)</w:t>
      </w:r>
    </w:p>
    <w:p w14:paraId="48DBF073">
      <w:pPr>
        <w:pStyle w:val="58"/>
        <w:ind w:firstLine="420"/>
      </w:pPr>
      <w:r>
        <w:rPr>
          <w:rFonts w:hint="eastAsia" w:ascii="宋体" w:hAnsi="宋体"/>
        </w:rPr>
        <w:t>式中：</w:t>
      </w:r>
    </w:p>
    <w:p w14:paraId="77F71250">
      <w:pPr>
        <w:pStyle w:val="59"/>
        <w:ind w:firstLine="420"/>
      </w:pPr>
      <w:r>
        <w:rPr>
          <w:rFonts w:ascii="Times New Roman"/>
          <w:i/>
          <w:iCs/>
        </w:rPr>
        <w:t>x</w:t>
      </w:r>
      <w:r>
        <w:rPr>
          <w:rFonts w:ascii="Times New Roman"/>
          <w:vertAlign w:val="subscript"/>
        </w:rPr>
        <w:t>v</w:t>
      </w:r>
      <w:r>
        <w:rPr>
          <w:rFonts w:ascii="Times New Roman"/>
        </w:rPr>
        <w:t>——</w:t>
      </w:r>
      <w:r>
        <w:rPr>
          <w:rFonts w:hint="eastAsia" w:hAnsi="宋体"/>
        </w:rPr>
        <w:t>三维声坐标系下的对象</w:t>
      </w:r>
      <w:r>
        <w:rPr>
          <w:rFonts w:ascii="Times New Roman"/>
          <w:i/>
          <w:iCs/>
        </w:rPr>
        <w:t>x</w:t>
      </w:r>
      <w:r>
        <w:rPr>
          <w:rFonts w:hint="eastAsia" w:hAnsi="宋体"/>
        </w:rPr>
        <w:t>坐标；</w:t>
      </w:r>
    </w:p>
    <w:p w14:paraId="2A351D48">
      <w:pPr>
        <w:pStyle w:val="59"/>
        <w:ind w:firstLine="420"/>
      </w:pPr>
      <w:r>
        <w:rPr>
          <w:rFonts w:ascii="Times New Roman"/>
          <w:i/>
          <w:iCs/>
        </w:rPr>
        <w:t>x</w:t>
      </w:r>
      <w:r>
        <w:rPr>
          <w:rFonts w:ascii="Times New Roman"/>
          <w:vertAlign w:val="subscript"/>
        </w:rPr>
        <w:t xml:space="preserve">th  </w:t>
      </w:r>
      <w:r>
        <w:rPr>
          <w:rFonts w:ascii="Times New Roman"/>
        </w:rPr>
        <w:t>——</w:t>
      </w:r>
      <w:r>
        <w:rPr>
          <w:rFonts w:hint="eastAsia" w:hAnsi="宋体"/>
        </w:rPr>
        <w:t>影院音频对象的</w:t>
      </w:r>
      <w:r>
        <w:rPr>
          <w:rFonts w:ascii="Times New Roman"/>
          <w:i/>
          <w:iCs/>
        </w:rPr>
        <w:t>x</w:t>
      </w:r>
      <w:r>
        <w:rPr>
          <w:rFonts w:hint="eastAsia" w:hAnsi="宋体"/>
        </w:rPr>
        <w:t>坐标。</w:t>
      </w:r>
    </w:p>
    <w:p w14:paraId="5F082658">
      <w:pPr>
        <w:pStyle w:val="116"/>
      </w:pPr>
      <w:r>
        <w:rPr>
          <w:rFonts w:hint="eastAsia"/>
        </w:rPr>
        <w:tab/>
      </w:r>
      <m:oMath>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y</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=−2.0</m:t>
        </m:r>
        <m:r>
          <m:rPr/>
          <w:rPr>
            <w:rFonts w:hint="default" w:ascii="Cambria Math" w:hAnsi="Cambria Math" w:cs="Cambria Math"/>
            <w:kern w:val="2"/>
            <w:sz w:val="21"/>
            <w:szCs w:val="21"/>
            <w:lang w:val="en-US" w:eastAsia="zh-CN" w:bidi="ar-SA"/>
          </w:rPr>
          <m:t>×</m:t>
        </m:r>
        <m:sSub>
          <m:sSubPr>
            <m:ctrlPr>
              <w:rPr>
                <w:rFonts w:hint="default" w:ascii="Cambria Math" w:hAnsi="Cambria Math" w:cs="Cambria Math"/>
                <w:i/>
                <w:kern w:val="2"/>
                <w:sz w:val="21"/>
                <w:szCs w:val="21"/>
                <w:lang w:val="en-US" w:eastAsia="zh-CN" w:bidi="ar-SA"/>
              </w:rPr>
            </m:ctrlPr>
          </m:sSubPr>
          <m:e>
            <m:r>
              <m:rPr/>
              <w:rPr>
                <w:rFonts w:hint="default" w:ascii="Cambria Math" w:hAnsi="Cambria Math" w:cs="Cambria Math"/>
                <w:kern w:val="2"/>
                <w:sz w:val="21"/>
                <w:szCs w:val="21"/>
                <w:lang w:val="en-US" w:eastAsia="zh-CN" w:bidi="ar-SA"/>
              </w:rPr>
              <m:t>y</m:t>
            </m:r>
            <m:ctrlPr>
              <w:rPr>
                <w:rFonts w:hint="default" w:ascii="Cambria Math" w:hAnsi="Cambria Math" w:cs="Cambria Math"/>
                <w:i/>
                <w:kern w:val="2"/>
                <w:sz w:val="21"/>
                <w:szCs w:val="21"/>
                <w:lang w:val="en-US" w:eastAsia="zh-CN" w:bidi="ar-SA"/>
              </w:rPr>
            </m:ctrlPr>
          </m:e>
          <m:sub>
            <m:r>
              <m:rPr/>
              <w:rPr>
                <w:rFonts w:hint="default" w:ascii="Cambria Math" w:hAnsi="Cambria Math" w:cs="Cambria Math"/>
                <w:kern w:val="2"/>
                <w:sz w:val="21"/>
                <w:szCs w:val="21"/>
                <w:lang w:val="en-US" w:eastAsia="zh-CN" w:bidi="ar-SA"/>
              </w:rPr>
              <m:t>th</m:t>
            </m:r>
            <m:ctrlPr>
              <w:rPr>
                <w:rFonts w:hint="default" w:ascii="Cambria Math" w:hAnsi="Cambria Math" w:cs="Cambria Math"/>
                <w:i/>
                <w:kern w:val="2"/>
                <w:sz w:val="21"/>
                <w:szCs w:val="21"/>
                <w:lang w:val="en-US" w:eastAsia="zh-CN" w:bidi="ar-SA"/>
              </w:rPr>
            </m:ctrlPr>
          </m:sub>
        </m:sSub>
        <m:r>
          <m:rPr/>
          <w:rPr>
            <w:rFonts w:hint="default" w:ascii="Cambria Math" w:hAnsi="Cambria Math" w:cs="Cambria Math"/>
            <w:kern w:val="2"/>
            <w:sz w:val="21"/>
            <w:szCs w:val="21"/>
            <w:lang w:val="en-US" w:eastAsia="zh-CN" w:bidi="ar-SA"/>
          </w:rPr>
          <m:t>+1.0</m:t>
        </m:r>
      </m:oMath>
      <w:r>
        <w:rPr>
          <w:rFonts w:hint="eastAsia" w:ascii="微软雅黑" w:hAnsi="微软雅黑" w:eastAsia="微软雅黑"/>
        </w:rPr>
        <w:tab/>
      </w:r>
      <w:r>
        <w:rPr>
          <w:rFonts w:hint="eastAsia"/>
        </w:rPr>
        <w:t>(B.2)</w:t>
      </w:r>
    </w:p>
    <w:p w14:paraId="3348E5AA">
      <w:pPr>
        <w:pStyle w:val="58"/>
        <w:ind w:firstLine="420"/>
      </w:pPr>
      <w:r>
        <w:rPr>
          <w:rFonts w:hint="eastAsia" w:ascii="宋体" w:hAnsi="宋体"/>
        </w:rPr>
        <w:t>式中：</w:t>
      </w:r>
    </w:p>
    <w:p w14:paraId="4BB539FC">
      <w:pPr>
        <w:pStyle w:val="59"/>
        <w:ind w:firstLine="420"/>
      </w:pPr>
      <w:r>
        <w:rPr>
          <w:rFonts w:ascii="Times New Roman"/>
          <w:i/>
          <w:iCs/>
        </w:rPr>
        <w:t>y</w:t>
      </w:r>
      <w:r>
        <w:rPr>
          <w:rFonts w:ascii="Times New Roman"/>
          <w:vertAlign w:val="subscript"/>
        </w:rPr>
        <w:t>v</w:t>
      </w:r>
      <w:r>
        <w:rPr>
          <w:rFonts w:ascii="Times New Roman"/>
        </w:rPr>
        <w:t>——</w:t>
      </w:r>
      <w:r>
        <w:rPr>
          <w:rFonts w:hint="eastAsia" w:hAnsi="宋体"/>
        </w:rPr>
        <w:t>三维声坐标系下的对象</w:t>
      </w:r>
      <w:r>
        <w:rPr>
          <w:rFonts w:ascii="Times New Roman"/>
          <w:i/>
          <w:iCs/>
        </w:rPr>
        <w:t>y</w:t>
      </w:r>
      <w:r>
        <w:rPr>
          <w:rFonts w:hint="eastAsia" w:hAnsi="宋体"/>
        </w:rPr>
        <w:t>坐标；</w:t>
      </w:r>
    </w:p>
    <w:p w14:paraId="22F295AD">
      <w:pPr>
        <w:pStyle w:val="59"/>
        <w:ind w:firstLine="420"/>
      </w:pPr>
      <w:r>
        <w:rPr>
          <w:rFonts w:ascii="Times New Roman"/>
          <w:i/>
          <w:iCs/>
        </w:rPr>
        <w:t>y</w:t>
      </w:r>
      <w:r>
        <w:rPr>
          <w:rFonts w:ascii="Times New Roman"/>
          <w:vertAlign w:val="subscript"/>
        </w:rPr>
        <w:t xml:space="preserve">th  </w:t>
      </w:r>
      <w:r>
        <w:rPr>
          <w:rFonts w:ascii="Times New Roman"/>
        </w:rPr>
        <w:t>——</w:t>
      </w:r>
      <w:r>
        <w:rPr>
          <w:rFonts w:hint="eastAsia" w:hAnsi="宋体"/>
        </w:rPr>
        <w:t>影院音频对象的</w:t>
      </w:r>
      <w:r>
        <w:rPr>
          <w:rFonts w:ascii="Times New Roman"/>
          <w:i/>
          <w:iCs/>
        </w:rPr>
        <w:t>y</w:t>
      </w:r>
      <w:r>
        <w:rPr>
          <w:rFonts w:hint="eastAsia" w:hAnsi="宋体"/>
        </w:rPr>
        <w:t>坐标。</w:t>
      </w:r>
    </w:p>
    <w:p w14:paraId="3E77612F">
      <w:pPr>
        <w:pStyle w:val="116"/>
      </w:pPr>
      <w:r>
        <w:rPr>
          <w:rFonts w:hint="eastAsia"/>
        </w:rPr>
        <w:tab/>
      </w:r>
      <m:oMath>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z</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m:t>
        </m:r>
        <m:sSub>
          <m:sSubPr>
            <m:ctrlPr>
              <w:rPr>
                <w:rFonts w:hint="default" w:ascii="Cambria Math" w:hAnsi="Cambria Math" w:cs="Cambria Math"/>
                <w:i/>
                <w:kern w:val="2"/>
                <w:sz w:val="21"/>
                <w:szCs w:val="21"/>
                <w:lang w:val="en-US" w:eastAsia="zh-CN" w:bidi="ar-SA"/>
              </w:rPr>
            </m:ctrlPr>
          </m:sSubPr>
          <m:e>
            <m:r>
              <m:rPr/>
              <w:rPr>
                <w:rFonts w:hint="default" w:ascii="Cambria Math" w:hAnsi="Cambria Math" w:cs="Cambria Math"/>
                <w:kern w:val="2"/>
                <w:sz w:val="21"/>
                <w:szCs w:val="21"/>
                <w:lang w:val="en-US" w:eastAsia="zh-CN" w:bidi="ar-SA"/>
              </w:rPr>
              <m:t>z</m:t>
            </m:r>
            <m:ctrlPr>
              <w:rPr>
                <w:rFonts w:hint="default" w:ascii="Cambria Math" w:hAnsi="Cambria Math" w:cs="Cambria Math"/>
                <w:i/>
                <w:kern w:val="2"/>
                <w:sz w:val="21"/>
                <w:szCs w:val="21"/>
                <w:lang w:val="en-US" w:eastAsia="zh-CN" w:bidi="ar-SA"/>
              </w:rPr>
            </m:ctrlPr>
          </m:e>
          <m:sub>
            <m:r>
              <m:rPr/>
              <w:rPr>
                <w:rFonts w:hint="default" w:ascii="Cambria Math" w:hAnsi="Cambria Math" w:cs="Cambria Math"/>
                <w:kern w:val="2"/>
                <w:sz w:val="21"/>
                <w:szCs w:val="21"/>
                <w:lang w:val="en-US" w:eastAsia="zh-CN" w:bidi="ar-SA"/>
              </w:rPr>
              <m:t>th</m:t>
            </m:r>
            <m:ctrlPr>
              <w:rPr>
                <w:rFonts w:hint="default" w:ascii="Cambria Math" w:hAnsi="Cambria Math" w:cs="Cambria Math"/>
                <w:i/>
                <w:kern w:val="2"/>
                <w:sz w:val="21"/>
                <w:szCs w:val="21"/>
                <w:lang w:val="en-US" w:eastAsia="zh-CN" w:bidi="ar-SA"/>
              </w:rPr>
            </m:ctrlPr>
          </m:sub>
        </m:sSub>
      </m:oMath>
      <w:r>
        <w:rPr>
          <w:rFonts w:hint="eastAsia" w:ascii="微软雅黑" w:hAnsi="微软雅黑" w:eastAsia="微软雅黑"/>
        </w:rPr>
        <w:tab/>
      </w:r>
      <w:r>
        <w:rPr>
          <w:rFonts w:hint="eastAsia"/>
        </w:rPr>
        <w:t>(B.3)</w:t>
      </w:r>
    </w:p>
    <w:p w14:paraId="22985812">
      <w:pPr>
        <w:pStyle w:val="58"/>
        <w:ind w:firstLine="420"/>
      </w:pPr>
      <w:r>
        <w:rPr>
          <w:rFonts w:hint="eastAsia" w:ascii="宋体" w:hAnsi="宋体"/>
        </w:rPr>
        <w:t>式中：</w:t>
      </w:r>
    </w:p>
    <w:p w14:paraId="38C791AD">
      <w:pPr>
        <w:pStyle w:val="59"/>
        <w:ind w:firstLine="420"/>
      </w:pPr>
      <w:r>
        <w:rPr>
          <w:rFonts w:ascii="Times New Roman"/>
          <w:i/>
          <w:iCs/>
        </w:rPr>
        <w:t>z</w:t>
      </w:r>
      <w:r>
        <w:rPr>
          <w:rFonts w:ascii="Times New Roman"/>
          <w:vertAlign w:val="subscript"/>
        </w:rPr>
        <w:t>v</w:t>
      </w:r>
      <w:r>
        <w:rPr>
          <w:rFonts w:ascii="Times New Roman"/>
        </w:rPr>
        <w:t>——</w:t>
      </w:r>
      <w:r>
        <w:rPr>
          <w:rFonts w:hint="eastAsia" w:hAnsi="宋体"/>
        </w:rPr>
        <w:t>三维声坐标系下的对象</w:t>
      </w:r>
      <w:r>
        <w:rPr>
          <w:rFonts w:ascii="Times New Roman"/>
          <w:i/>
          <w:iCs/>
        </w:rPr>
        <w:t>z</w:t>
      </w:r>
      <w:r>
        <w:rPr>
          <w:rFonts w:hint="eastAsia" w:hAnsi="宋体"/>
        </w:rPr>
        <w:t>坐标；</w:t>
      </w:r>
    </w:p>
    <w:p w14:paraId="3E7A611B">
      <w:pPr>
        <w:pStyle w:val="59"/>
        <w:ind w:firstLine="420"/>
      </w:pPr>
      <w:r>
        <w:rPr>
          <w:rFonts w:ascii="Times New Roman"/>
          <w:i/>
          <w:iCs/>
        </w:rPr>
        <w:t>z</w:t>
      </w:r>
      <w:r>
        <w:rPr>
          <w:rFonts w:ascii="Times New Roman"/>
          <w:vertAlign w:val="subscript"/>
        </w:rPr>
        <w:t xml:space="preserve">th  </w:t>
      </w:r>
      <w:r>
        <w:rPr>
          <w:rFonts w:ascii="Times New Roman"/>
        </w:rPr>
        <w:t>——</w:t>
      </w:r>
      <w:r>
        <w:rPr>
          <w:rFonts w:hint="eastAsia" w:hAnsi="宋体"/>
        </w:rPr>
        <w:t>影院音频对象的</w:t>
      </w:r>
      <w:r>
        <w:rPr>
          <w:rFonts w:ascii="Times New Roman"/>
          <w:i/>
          <w:iCs/>
        </w:rPr>
        <w:t>z</w:t>
      </w:r>
      <w:r>
        <w:rPr>
          <w:rFonts w:hint="eastAsia" w:hAnsi="宋体"/>
        </w:rPr>
        <w:t>坐标。</w:t>
      </w:r>
    </w:p>
    <w:p w14:paraId="77FFD8EB">
      <w:pPr>
        <w:pStyle w:val="59"/>
        <w:ind w:firstLine="420"/>
      </w:pPr>
      <w:r>
        <w:rPr>
          <w:rFonts w:hint="eastAsia" w:hAnsi="宋体"/>
        </w:rPr>
        <w:t>将三维声对象位置元数据转换为影院对象位置元数据时，转换公式见公式（B.</w:t>
      </w:r>
      <w:r>
        <w:rPr>
          <w:rFonts w:hint="eastAsia"/>
        </w:rPr>
        <w:t>4</w:t>
      </w:r>
      <w:r>
        <w:rPr>
          <w:rFonts w:hint="eastAsia" w:hAnsi="宋体"/>
        </w:rPr>
        <w:t>）～公式（B.</w:t>
      </w:r>
      <w:r>
        <w:rPr>
          <w:rFonts w:hint="eastAsia"/>
        </w:rPr>
        <w:t>6</w:t>
      </w:r>
      <w:r>
        <w:rPr>
          <w:rFonts w:hint="eastAsia" w:hAnsi="宋体"/>
        </w:rPr>
        <w:t>）。</w:t>
      </w:r>
    </w:p>
    <w:p w14:paraId="6E086F13">
      <w:pPr>
        <w:pStyle w:val="116"/>
      </w:pPr>
      <w:r>
        <w:rPr>
          <w:rFonts w:hint="eastAsia"/>
        </w:rPr>
        <w:tab/>
      </w:r>
      <m:oMath>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x</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th</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=0.5</m:t>
        </m:r>
        <m:r>
          <m:rPr/>
          <w:rPr>
            <w:rFonts w:hint="default" w:ascii="Cambria Math" w:hAnsi="Cambria Math" w:cs="Cambria Math"/>
            <w:kern w:val="2"/>
            <w:sz w:val="21"/>
            <w:szCs w:val="21"/>
            <w:lang w:val="en-US" w:eastAsia="zh-CN" w:bidi="ar-SA"/>
          </w:rPr>
          <m:t>×</m:t>
        </m:r>
        <m:sSub>
          <m:sSubPr>
            <m:ctrlPr>
              <w:rPr>
                <w:rFonts w:hint="default" w:ascii="Cambria Math" w:hAnsi="Cambria Math" w:cs="Cambria Math"/>
                <w:i/>
                <w:kern w:val="2"/>
                <w:sz w:val="21"/>
                <w:szCs w:val="21"/>
                <w:lang w:val="en-US" w:eastAsia="zh-CN" w:bidi="ar-SA"/>
              </w:rPr>
            </m:ctrlPr>
          </m:sSubPr>
          <m:e>
            <m:r>
              <m:rPr/>
              <w:rPr>
                <w:rFonts w:hint="default" w:ascii="Cambria Math" w:hAnsi="Cambria Math" w:cs="Cambria Math"/>
                <w:kern w:val="2"/>
                <w:sz w:val="21"/>
                <w:szCs w:val="21"/>
                <w:lang w:val="en-US" w:eastAsia="zh-CN" w:bidi="ar-SA"/>
              </w:rPr>
              <m:t>x</m:t>
            </m:r>
            <m:ctrlPr>
              <w:rPr>
                <w:rFonts w:hint="default" w:ascii="Cambria Math" w:hAnsi="Cambria Math" w:cs="Cambria Math"/>
                <w:i/>
                <w:kern w:val="2"/>
                <w:sz w:val="21"/>
                <w:szCs w:val="21"/>
                <w:lang w:val="en-US" w:eastAsia="zh-CN" w:bidi="ar-SA"/>
              </w:rPr>
            </m:ctrlPr>
          </m:e>
          <m:sub>
            <m:r>
              <m:rPr/>
              <w:rPr>
                <w:rFonts w:hint="default" w:ascii="Cambria Math" w:hAnsi="Cambria Math" w:cs="Cambria Math"/>
                <w:kern w:val="2"/>
                <w:sz w:val="21"/>
                <w:szCs w:val="21"/>
                <w:lang w:val="en-US" w:eastAsia="zh-CN" w:bidi="ar-SA"/>
              </w:rPr>
              <m:t>v</m:t>
            </m:r>
            <m:ctrlPr>
              <w:rPr>
                <w:rFonts w:hint="default" w:ascii="Cambria Math" w:hAnsi="Cambria Math" w:cs="Cambria Math"/>
                <w:i/>
                <w:kern w:val="2"/>
                <w:sz w:val="21"/>
                <w:szCs w:val="21"/>
                <w:lang w:val="en-US" w:eastAsia="zh-CN" w:bidi="ar-SA"/>
              </w:rPr>
            </m:ctrlPr>
          </m:sub>
        </m:sSub>
        <m:r>
          <m:rPr/>
          <w:rPr>
            <w:rFonts w:hint="default" w:ascii="Cambria Math" w:hAnsi="Cambria Math" w:cs="Cambria Math"/>
            <w:kern w:val="2"/>
            <w:sz w:val="21"/>
            <w:szCs w:val="21"/>
            <w:lang w:val="en-US" w:eastAsia="zh-CN" w:bidi="ar-SA"/>
          </w:rPr>
          <m:t>+0.5</m:t>
        </m:r>
      </m:oMath>
      <w:r>
        <w:rPr>
          <w:rFonts w:hint="eastAsia" w:ascii="微软雅黑" w:hAnsi="微软雅黑" w:eastAsia="微软雅黑"/>
        </w:rPr>
        <w:tab/>
      </w:r>
      <w:r>
        <w:rPr>
          <w:rFonts w:hint="eastAsia"/>
        </w:rPr>
        <w:t>(B.4)</w:t>
      </w:r>
    </w:p>
    <w:p w14:paraId="3A8206C2">
      <w:pPr>
        <w:pStyle w:val="116"/>
      </w:pPr>
      <w:r>
        <w:rPr>
          <w:rFonts w:hint="eastAsia"/>
        </w:rPr>
        <w:tab/>
      </w:r>
      <m:oMath>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y</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th</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=−0.5</m:t>
        </m:r>
        <m:r>
          <m:rPr/>
          <w:rPr>
            <w:rFonts w:hint="default" w:ascii="Cambria Math" w:hAnsi="Cambria Math" w:cs="Cambria Math"/>
            <w:kern w:val="2"/>
            <w:sz w:val="21"/>
            <w:szCs w:val="21"/>
            <w:lang w:val="en-US" w:eastAsia="zh-CN" w:bidi="ar-SA"/>
          </w:rPr>
          <m:t>×</m:t>
        </m:r>
        <m:sSub>
          <m:sSubPr>
            <m:ctrlPr>
              <w:rPr>
                <w:rFonts w:hint="default" w:ascii="Cambria Math" w:hAnsi="Cambria Math" w:cs="Cambria Math"/>
                <w:i/>
                <w:kern w:val="2"/>
                <w:sz w:val="21"/>
                <w:szCs w:val="21"/>
                <w:lang w:val="en-US" w:eastAsia="zh-CN" w:bidi="ar-SA"/>
              </w:rPr>
            </m:ctrlPr>
          </m:sSubPr>
          <m:e>
            <m:r>
              <m:rPr/>
              <w:rPr>
                <w:rFonts w:hint="default" w:ascii="Cambria Math" w:hAnsi="Cambria Math" w:cs="Cambria Math"/>
                <w:kern w:val="2"/>
                <w:sz w:val="21"/>
                <w:szCs w:val="21"/>
                <w:lang w:val="en-US" w:eastAsia="zh-CN" w:bidi="ar-SA"/>
              </w:rPr>
              <m:t>y</m:t>
            </m:r>
            <m:ctrlPr>
              <w:rPr>
                <w:rFonts w:hint="default" w:ascii="Cambria Math" w:hAnsi="Cambria Math" w:cs="Cambria Math"/>
                <w:i/>
                <w:kern w:val="2"/>
                <w:sz w:val="21"/>
                <w:szCs w:val="21"/>
                <w:lang w:val="en-US" w:eastAsia="zh-CN" w:bidi="ar-SA"/>
              </w:rPr>
            </m:ctrlPr>
          </m:e>
          <m:sub>
            <m:r>
              <m:rPr/>
              <w:rPr>
                <w:rFonts w:hint="default" w:ascii="Cambria Math" w:hAnsi="Cambria Math" w:cs="Cambria Math"/>
                <w:kern w:val="2"/>
                <w:sz w:val="21"/>
                <w:szCs w:val="21"/>
                <w:lang w:val="en-US" w:eastAsia="zh-CN" w:bidi="ar-SA"/>
              </w:rPr>
              <m:t>v</m:t>
            </m:r>
            <m:ctrlPr>
              <w:rPr>
                <w:rFonts w:hint="default" w:ascii="Cambria Math" w:hAnsi="Cambria Math" w:cs="Cambria Math"/>
                <w:i/>
                <w:kern w:val="2"/>
                <w:sz w:val="21"/>
                <w:szCs w:val="21"/>
                <w:lang w:val="en-US" w:eastAsia="zh-CN" w:bidi="ar-SA"/>
              </w:rPr>
            </m:ctrlPr>
          </m:sub>
        </m:sSub>
        <m:r>
          <m:rPr/>
          <w:rPr>
            <w:rFonts w:hint="default" w:ascii="Cambria Math" w:hAnsi="Cambria Math" w:cs="Cambria Math"/>
            <w:kern w:val="2"/>
            <w:sz w:val="21"/>
            <w:szCs w:val="21"/>
            <w:lang w:val="en-US" w:eastAsia="zh-CN" w:bidi="ar-SA"/>
          </w:rPr>
          <m:t>+0.5</m:t>
        </m:r>
      </m:oMath>
      <w:r>
        <w:rPr>
          <w:rFonts w:hint="eastAsia" w:ascii="微软雅黑" w:hAnsi="微软雅黑" w:eastAsia="微软雅黑"/>
        </w:rPr>
        <w:tab/>
      </w:r>
      <w:r>
        <w:rPr>
          <w:rFonts w:hint="eastAsia"/>
        </w:rPr>
        <w:t>(B.5)</w:t>
      </w:r>
    </w:p>
    <w:p w14:paraId="493A6499">
      <w:pPr>
        <w:pStyle w:val="116"/>
      </w:pPr>
      <w:r>
        <w:rPr>
          <w:rFonts w:hint="eastAsia"/>
        </w:rPr>
        <w:tab/>
      </w:r>
      <m:oMath>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z</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th</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m:t>
        </m:r>
        <m:d>
          <m:dPr>
            <m:begChr m:val="{"/>
            <m:endChr m:val=""/>
            <m:ctrlPr>
              <w:rPr>
                <w:rFonts w:hint="default" w:ascii="Cambria Math" w:hAnsi="Cambria Math" w:cs="Times New Roman"/>
                <w:i/>
                <w:kern w:val="2"/>
                <w:sz w:val="21"/>
                <w:szCs w:val="21"/>
                <w:lang w:val="en-US" w:eastAsia="zh-CN" w:bidi="ar-SA"/>
              </w:rPr>
            </m:ctrlPr>
          </m:dPr>
          <m:e>
            <m:eqArr>
              <m:eqArrPr>
                <m:ctrlPr>
                  <w:rPr>
                    <w:rFonts w:hint="default" w:ascii="Cambria Math" w:hAnsi="Cambria Math" w:cs="Times New Roman"/>
                    <w:i/>
                    <w:kern w:val="2"/>
                    <w:sz w:val="21"/>
                    <w:szCs w:val="21"/>
                    <w:lang w:val="en-US" w:eastAsia="zh-CN" w:bidi="ar-SA"/>
                  </w:rPr>
                </m:ctrlPr>
              </m:eqArrPr>
              <m:e>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z</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eastAsia="zh-CN" w:bidi="ar-SA"/>
                      </w:rPr>
                    </m:ctrlPr>
                  </m:sub>
                </m:sSub>
                <m:r>
                  <m:rPr/>
                  <w:rPr>
                    <w:rFonts w:hint="default" w:ascii="Cambria Math" w:hAnsi="Cambria Math" w:cs="Times New Roman"/>
                    <w:kern w:val="2"/>
                    <w:sz w:val="21"/>
                    <w:szCs w:val="21"/>
                    <w:lang w:val="en-US" w:eastAsia="zh-CN" w:bidi="ar-SA"/>
                  </w:rPr>
                  <m:t xml:space="preserve">     if</m:t>
                </m:r>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 xml:space="preserve"> z</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eastAsia="zh-CN" w:bidi="ar-SA"/>
                      </w:rPr>
                    </m:ctrlPr>
                  </m:sub>
                </m:sSub>
                <m:r>
                  <m:rPr/>
                  <w:rPr>
                    <w:rFonts w:ascii="Cambria Math" w:hAnsi="Cambria Math" w:cs="Times New Roman"/>
                    <w:kern w:val="2"/>
                    <w:sz w:val="21"/>
                    <w:szCs w:val="21"/>
                    <w:lang w:val="en-US" w:bidi="ar-SA"/>
                  </w:rPr>
                  <m:t>≥</m:t>
                </m:r>
                <m:r>
                  <m:rPr/>
                  <w:rPr>
                    <w:rFonts w:hint="default" w:ascii="Cambria Math" w:hAnsi="Cambria Math" w:cs="Times New Roman"/>
                    <w:kern w:val="2"/>
                    <w:sz w:val="21"/>
                    <w:szCs w:val="21"/>
                    <w:lang w:val="en-US" w:eastAsia="zh-CN" w:bidi="ar-SA"/>
                  </w:rPr>
                  <m:t>0</m:t>
                </m:r>
                <m:ctrlPr>
                  <w:rPr>
                    <w:rFonts w:hint="default" w:ascii="Cambria Math" w:hAnsi="Cambria Math" w:cs="Times New Roman"/>
                    <w:i/>
                    <w:kern w:val="2"/>
                    <w:sz w:val="21"/>
                    <w:szCs w:val="21"/>
                    <w:lang w:val="en-US" w:eastAsia="zh-CN" w:bidi="ar-SA"/>
                  </w:rPr>
                </m:ctrlPr>
              </m:e>
              <m:e>
                <m:r>
                  <m:rPr/>
                  <w:rPr>
                    <w:rFonts w:hint="default" w:ascii="Cambria Math" w:hAnsi="Cambria Math" w:cs="Times New Roman"/>
                    <w:kern w:val="2"/>
                    <w:sz w:val="21"/>
                    <w:szCs w:val="21"/>
                    <w:lang w:val="en-US" w:eastAsia="zh-CN" w:bidi="ar-SA"/>
                  </w:rPr>
                  <m:t xml:space="preserve">0       if </m:t>
                </m:r>
                <m:sSub>
                  <m:sSubPr>
                    <m:ctrlPr>
                      <w:rPr>
                        <w:rFonts w:hint="default" w:ascii="Cambria Math" w:hAnsi="Cambria Math" w:cs="Times New Roman"/>
                        <w:i/>
                        <w:kern w:val="2"/>
                        <w:sz w:val="21"/>
                        <w:szCs w:val="21"/>
                        <w:lang w:val="en-US" w:eastAsia="zh-CN" w:bidi="ar-SA"/>
                      </w:rPr>
                    </m:ctrlPr>
                  </m:sSubPr>
                  <m:e>
                    <m:r>
                      <m:rPr/>
                      <w:rPr>
                        <w:rFonts w:hint="default" w:ascii="Cambria Math" w:hAnsi="Cambria Math" w:cs="Times New Roman"/>
                        <w:kern w:val="2"/>
                        <w:sz w:val="21"/>
                        <w:szCs w:val="21"/>
                        <w:lang w:val="en-US" w:eastAsia="zh-CN" w:bidi="ar-SA"/>
                      </w:rPr>
                      <m:t>z</m:t>
                    </m:r>
                    <m:ctrlPr>
                      <w:rPr>
                        <w:rFonts w:hint="default" w:ascii="Cambria Math" w:hAnsi="Cambria Math" w:cs="Times New Roman"/>
                        <w:i/>
                        <w:kern w:val="2"/>
                        <w:sz w:val="21"/>
                        <w:szCs w:val="21"/>
                        <w:lang w:val="en-US" w:eastAsia="zh-CN" w:bidi="ar-SA"/>
                      </w:rPr>
                    </m:ctrlPr>
                  </m:e>
                  <m:sub>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eastAsia="zh-CN" w:bidi="ar-SA"/>
                      </w:rPr>
                    </m:ctrlPr>
                  </m:sub>
                </m:sSub>
                <m:r>
                  <m:rPr/>
                  <w:rPr>
                    <w:rFonts w:ascii="Cambria Math" w:hAnsi="Cambria Math" w:cs="Times New Roman"/>
                    <w:kern w:val="2"/>
                    <w:sz w:val="21"/>
                    <w:szCs w:val="21"/>
                    <w:lang w:val="en-US" w:bidi="ar-SA"/>
                  </w:rPr>
                  <m:t>&lt;</m:t>
                </m:r>
                <m:r>
                  <m:rPr/>
                  <w:rPr>
                    <w:rFonts w:hint="default" w:ascii="Cambria Math" w:hAnsi="Cambria Math" w:cs="Times New Roman"/>
                    <w:kern w:val="2"/>
                    <w:sz w:val="21"/>
                    <w:szCs w:val="21"/>
                    <w:lang w:val="en-US" w:eastAsia="zh-CN" w:bidi="ar-SA"/>
                  </w:rPr>
                  <m:t>0</m:t>
                </m:r>
                <m:ctrlPr>
                  <w:rPr>
                    <w:rFonts w:hint="default" w:ascii="Cambria Math" w:hAnsi="Cambria Math" w:cs="Times New Roman"/>
                    <w:i/>
                    <w:kern w:val="2"/>
                    <w:sz w:val="21"/>
                    <w:szCs w:val="21"/>
                    <w:lang w:val="en-US" w:eastAsia="zh-CN" w:bidi="ar-SA"/>
                  </w:rPr>
                </m:ctrlPr>
              </m:e>
            </m:eqArr>
            <m:ctrlPr>
              <w:rPr>
                <w:rFonts w:hint="default" w:ascii="Cambria Math" w:hAnsi="Cambria Math" w:cs="Times New Roman"/>
                <w:i/>
                <w:kern w:val="2"/>
                <w:sz w:val="21"/>
                <w:szCs w:val="21"/>
                <w:lang w:val="en-US" w:eastAsia="zh-CN" w:bidi="ar-SA"/>
              </w:rPr>
            </m:ctrlPr>
          </m:e>
        </m:d>
      </m:oMath>
      <w:r>
        <w:rPr>
          <w:rFonts w:hint="eastAsia" w:ascii="微软雅黑" w:hAnsi="微软雅黑" w:eastAsia="微软雅黑"/>
        </w:rPr>
        <w:tab/>
      </w:r>
      <w:r>
        <w:rPr>
          <w:rFonts w:hint="eastAsia"/>
        </w:rPr>
        <w:t>(B.6)</w:t>
      </w:r>
    </w:p>
    <w:p w14:paraId="6A2B91AE">
      <w:pPr>
        <w:pStyle w:val="59"/>
        <w:ind w:firstLine="420"/>
      </w:pPr>
      <w:r>
        <w:rPr>
          <w:rFonts w:hint="eastAsia" w:hAnsi="宋体"/>
        </w:rPr>
        <w:t>其中，由于三维声对象位置元数据</w:t>
      </w:r>
      <w:r>
        <w:rPr>
          <w:rFonts w:ascii="Times New Roman"/>
          <w:i/>
          <w:iCs/>
        </w:rPr>
        <w:t>z</w:t>
      </w:r>
      <w:r>
        <w:rPr>
          <w:rFonts w:hint="eastAsia" w:hAnsi="宋体"/>
        </w:rPr>
        <w:t>轴的取值范围为[</w:t>
      </w:r>
      <w:r>
        <w:rPr>
          <w:rFonts w:hint="eastAsia"/>
        </w:rPr>
        <w:t>-1,1]</w:t>
      </w:r>
      <w:r>
        <w:rPr>
          <w:rFonts w:hint="eastAsia" w:hAnsi="宋体"/>
        </w:rPr>
        <w:t>，影院位置元数据</w:t>
      </w:r>
      <w:r>
        <w:rPr>
          <w:rFonts w:ascii="Times New Roman"/>
          <w:i/>
          <w:iCs/>
        </w:rPr>
        <w:t>z</w:t>
      </w:r>
      <w:r>
        <w:rPr>
          <w:rFonts w:hint="eastAsia" w:hAnsi="宋体"/>
        </w:rPr>
        <w:t>轴的取值范围为[</w:t>
      </w:r>
      <w:r>
        <w:rPr>
          <w:rFonts w:hint="eastAsia"/>
        </w:rPr>
        <w:t>0,1]</w:t>
      </w:r>
      <w:r>
        <w:rPr>
          <w:rFonts w:hint="eastAsia" w:hAnsi="宋体"/>
        </w:rPr>
        <w:t>，因此</w:t>
      </w:r>
      <w:r>
        <w:rPr>
          <w:rFonts w:ascii="Times New Roman"/>
          <w:i/>
          <w:iCs/>
        </w:rPr>
        <w:t>z</w:t>
      </w:r>
      <w:r>
        <w:rPr>
          <w:rFonts w:ascii="Times New Roman"/>
          <w:vertAlign w:val="subscript"/>
        </w:rPr>
        <w:t>v</w:t>
      </w:r>
      <w:r>
        <w:rPr>
          <w:rFonts w:hint="eastAsia" w:hAnsi="宋体"/>
        </w:rPr>
        <w:t>转换为</w:t>
      </w:r>
      <w:r>
        <w:rPr>
          <w:rFonts w:ascii="Times New Roman"/>
          <w:i/>
          <w:iCs/>
        </w:rPr>
        <w:t>z</w:t>
      </w:r>
      <w:r>
        <w:rPr>
          <w:rFonts w:ascii="Times New Roman"/>
          <w:vertAlign w:val="subscript"/>
        </w:rPr>
        <w:t>th</w:t>
      </w:r>
      <w:r>
        <w:rPr>
          <w:rFonts w:hint="eastAsia" w:hAnsi="宋体"/>
        </w:rPr>
        <w:t>时，应进行空间位置坐标体系的转换。</w:t>
      </w:r>
    </w:p>
    <w:bookmarkEnd w:id="199"/>
    <w:p w14:paraId="71BA999C">
      <w:pPr>
        <w:pStyle w:val="59"/>
        <w:ind w:firstLine="0" w:firstLineChars="0"/>
        <w:sectPr>
          <w:pgSz w:w="11906" w:h="16838"/>
          <w:pgMar w:top="1871" w:right="1134" w:bottom="1134" w:left="1134" w:header="1418" w:footer="1134" w:gutter="284"/>
          <w:cols w:space="425" w:num="1"/>
          <w:formProt w:val="0"/>
          <w:docGrid w:type="lines" w:linePitch="312" w:charSpace="0"/>
        </w:sectPr>
      </w:pPr>
      <w:bookmarkStart w:id="204" w:name="BookMark6"/>
    </w:p>
    <w:p w14:paraId="65BCB889">
      <w:pPr>
        <w:pStyle w:val="66"/>
        <w:spacing w:before="124" w:after="156"/>
      </w:pPr>
      <w:bookmarkStart w:id="205" w:name="_Toc18120"/>
      <w:bookmarkStart w:id="206" w:name="_Toc203577743"/>
      <w:r>
        <w:rPr>
          <w:rFonts w:hint="eastAsia"/>
          <w:spacing w:val="105"/>
        </w:rPr>
        <w:t>参考文</w:t>
      </w:r>
      <w:r>
        <w:rPr>
          <w:rFonts w:hint="eastAsia"/>
        </w:rPr>
        <w:t>献</w:t>
      </w:r>
      <w:bookmarkEnd w:id="205"/>
      <w:bookmarkEnd w:id="206"/>
    </w:p>
    <w:p w14:paraId="4017AC8B">
      <w:pPr>
        <w:pStyle w:val="233"/>
        <w:numPr>
          <w:ilvl w:val="0"/>
          <w:numId w:val="51"/>
        </w:numPr>
        <w:ind w:firstLine="420"/>
        <w:rPr>
          <w:rFonts w:hAnsi="宋体"/>
        </w:rPr>
      </w:pPr>
      <w:r>
        <w:rPr>
          <w:rFonts w:hint="eastAsia" w:hAnsi="宋体"/>
        </w:rPr>
        <w:t>GY/T 312—2017 电影 录音控制室、室内影厅B环电声响应规范和测量</w:t>
      </w:r>
    </w:p>
    <w:p w14:paraId="269B1E7E">
      <w:pPr>
        <w:pStyle w:val="233"/>
        <w:numPr>
          <w:ilvl w:val="0"/>
          <w:numId w:val="51"/>
        </w:numPr>
        <w:ind w:firstLine="420"/>
        <w:rPr>
          <w:rFonts w:hAnsi="宋体"/>
        </w:rPr>
      </w:pPr>
      <w:r>
        <w:rPr>
          <w:rFonts w:hint="eastAsia"/>
          <w:color w:val="000000"/>
        </w:rPr>
        <w:t>T/CSMPTE 35—2024 《数字电影沉浸式音频发行母版技术要求》</w:t>
      </w:r>
    </w:p>
    <w:p w14:paraId="57C03794">
      <w:pPr>
        <w:pStyle w:val="233"/>
        <w:numPr>
          <w:ilvl w:val="0"/>
          <w:numId w:val="51"/>
        </w:numPr>
        <w:ind w:firstLine="420"/>
        <w:rPr>
          <w:rFonts w:hAnsi="宋体"/>
        </w:rPr>
      </w:pPr>
      <w:r>
        <w:rPr>
          <w:rFonts w:hint="eastAsia" w:hAnsi="宋体"/>
        </w:rPr>
        <w:t>SMPTE ST 2098-5:2018  D-Cinema Immersive Audio Channels and Soundfield Groups</w:t>
      </w:r>
    </w:p>
    <w:p w14:paraId="06C41C53">
      <w:pPr>
        <w:pStyle w:val="233"/>
        <w:numPr>
          <w:ilvl w:val="0"/>
          <w:numId w:val="51"/>
        </w:numPr>
        <w:ind w:firstLine="420"/>
        <w:rPr>
          <w:rFonts w:hAnsi="宋体"/>
        </w:rPr>
      </w:pPr>
      <w:bookmarkStart w:id="207" w:name="OLE_LINK4"/>
      <w:bookmarkStart w:id="208" w:name="OLE_LINK28"/>
      <w:r>
        <w:rPr>
          <w:rFonts w:hint="eastAsia" w:hAnsi="宋体"/>
        </w:rPr>
        <w:t xml:space="preserve">SMPTE ST 2098-1:2018 </w:t>
      </w:r>
      <w:r>
        <w:rPr>
          <w:rFonts w:hAnsi="宋体"/>
        </w:rPr>
        <w:t>Immersive Audio Metadata</w:t>
      </w:r>
      <w:r>
        <w:rPr>
          <w:rFonts w:hint="eastAsia" w:hAnsi="宋体"/>
        </w:rPr>
        <w:t xml:space="preserve"> </w:t>
      </w:r>
    </w:p>
    <w:p w14:paraId="5E046740">
      <w:pPr>
        <w:pStyle w:val="233"/>
        <w:numPr>
          <w:ilvl w:val="0"/>
          <w:numId w:val="51"/>
        </w:numPr>
        <w:ind w:firstLine="420"/>
        <w:rPr>
          <w:rFonts w:hAnsi="宋体"/>
        </w:rPr>
      </w:pPr>
      <w:bookmarkStart w:id="209" w:name="OLE_LINK16"/>
      <w:r>
        <w:rPr>
          <w:rFonts w:hint="eastAsia" w:hAnsi="宋体"/>
        </w:rPr>
        <w:t>SMPTE ST 2098-2</w:t>
      </w:r>
      <w:bookmarkEnd w:id="207"/>
      <w:r>
        <w:rPr>
          <w:rFonts w:hint="eastAsia" w:hAnsi="宋体"/>
        </w:rPr>
        <w:t>:2022</w:t>
      </w:r>
      <w:bookmarkEnd w:id="209"/>
      <w:r>
        <w:rPr>
          <w:rFonts w:hint="eastAsia" w:hAnsi="宋体"/>
        </w:rPr>
        <w:t xml:space="preserve"> </w:t>
      </w:r>
      <w:r>
        <w:rPr>
          <w:rFonts w:hAnsi="宋体"/>
        </w:rPr>
        <w:t>Immersive Audio Bitstream Specification</w:t>
      </w:r>
    </w:p>
    <w:bookmarkEnd w:id="208"/>
    <w:p w14:paraId="4F952A6C">
      <w:pPr>
        <w:pStyle w:val="233"/>
        <w:numPr>
          <w:ilvl w:val="0"/>
          <w:numId w:val="51"/>
        </w:numPr>
        <w:ind w:firstLine="420"/>
        <w:rPr>
          <w:rFonts w:hAnsi="宋体"/>
        </w:rPr>
      </w:pPr>
      <w:r>
        <w:rPr>
          <w:rFonts w:hint="eastAsia" w:hAnsi="宋体"/>
        </w:rPr>
        <w:t>SMPTE ST 430-14:2022 D-Cinema Operations-Digital Sync Signal and Aux Data Transfer Protocol</w:t>
      </w:r>
    </w:p>
    <w:bookmarkEnd w:id="204"/>
    <w:p w14:paraId="5D8EC7E1">
      <w:pPr>
        <w:pStyle w:val="59"/>
        <w:ind w:firstLine="0" w:firstLineChars="0"/>
        <w:jc w:val="center"/>
      </w:pPr>
      <w:bookmarkStart w:id="210" w:name="BookMark8"/>
      <w:r>
        <w:rPr>
          <w:rFonts w:hint="eastAsia"/>
        </w:rPr>
        <w:drawing>
          <wp:inline distT="0" distB="0" distL="0" distR="0">
            <wp:extent cx="1485900" cy="317500"/>
            <wp:effectExtent l="0" t="0" r="0" b="6350"/>
            <wp:docPr id="660147283" name="图片 4"/>
            <wp:cNvGraphicFramePr/>
            <a:graphic xmlns:a="http://schemas.openxmlformats.org/drawingml/2006/main">
              <a:graphicData uri="http://schemas.openxmlformats.org/drawingml/2006/picture">
                <pic:pic xmlns:pic="http://schemas.openxmlformats.org/drawingml/2006/picture">
                  <pic:nvPicPr>
                    <pic:cNvPr id="660147283" name="图片 4"/>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0"/>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7DF4">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66481">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7DF5">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55A5">
    <w:pPr>
      <w:pStyle w:val="54"/>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6172">
    <w:pPr>
      <w:pStyle w:val="55"/>
    </w:pPr>
    <w:r>
      <w:fldChar w:fldCharType="begin"/>
    </w:r>
    <w:r>
      <w:instrText xml:space="preserve">PAGE   \* MERGEFORMAT</w:instrText>
    </w:r>
    <w:r>
      <w:fldChar w:fldCharType="separate"/>
    </w:r>
    <w:r>
      <w:rPr>
        <w:lang w:val="zh-CN"/>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320E">
    <w:pPr>
      <w:pStyle w:val="54"/>
    </w:pPr>
    <w:r>
      <w:fldChar w:fldCharType="begin"/>
    </w:r>
    <w:r>
      <w:instrText xml:space="preserve">PAGE   \* MERGEFORMAT</w:instrText>
    </w:r>
    <w:r>
      <w:fldChar w:fldCharType="separate"/>
    </w:r>
    <w:r>
      <w:rPr>
        <w:lang w:val="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C5A8">
    <w:pPr>
      <w:pStyle w:val="55"/>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55D86">
    <w:pPr>
      <w:pStyle w:val="54"/>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C86F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FE4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7063">
    <w:pPr>
      <w:pStyle w:val="64"/>
    </w:pPr>
    <w:r>
      <w:fldChar w:fldCharType="begin"/>
    </w:r>
    <w:r>
      <w:instrText xml:space="preserve"> STYLEREF  标准文件_文件编号  \* MERGEFORMAT </w:instrText>
    </w:r>
    <w:r>
      <w:fldChar w:fldCharType="separate"/>
    </w:r>
    <w:r>
      <w:t>DY/T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726C">
    <w:pPr>
      <w:pStyle w:val="65"/>
    </w:pPr>
    <w:r>
      <w:fldChar w:fldCharType="begin"/>
    </w:r>
    <w:r>
      <w:instrText xml:space="preserve"> STYLEREF  标准文件_文件编号 \* MERGEFORMAT </w:instrText>
    </w:r>
    <w:r>
      <w:fldChar w:fldCharType="separate"/>
    </w:r>
    <w:r>
      <w:t>DY/T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2AED">
    <w:pPr>
      <w:pStyle w:val="64"/>
    </w:pPr>
    <w:r>
      <w:fldChar w:fldCharType="begin"/>
    </w:r>
    <w:r>
      <w:instrText xml:space="preserve"> STYLEREF  标准文件_文件编号  \* MERGEFORMAT </w:instrText>
    </w:r>
    <w:r>
      <w:fldChar w:fldCharType="separate"/>
    </w:r>
    <w:r>
      <w:t>DY/T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F511">
    <w:pPr>
      <w:pStyle w:val="65"/>
      <w:jc w:val="left"/>
    </w:pPr>
    <w:r>
      <w:fldChar w:fldCharType="begin"/>
    </w:r>
    <w:r>
      <w:instrText xml:space="preserve"> STYLEREF  标准文件_文件编号 \* MERGEFORMAT </w:instrText>
    </w:r>
    <w:r>
      <w:fldChar w:fldCharType="separate"/>
    </w:r>
    <w:r>
      <w:t>DY/T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CDDE">
    <w:pPr>
      <w:pStyle w:val="64"/>
    </w:pPr>
    <w:r>
      <w:fldChar w:fldCharType="begin"/>
    </w:r>
    <w:r>
      <w:instrText xml:space="preserve"> STYLEREF  标准文件_文件编号  \* MERGEFORMAT </w:instrText>
    </w:r>
    <w:r>
      <w:fldChar w:fldCharType="separate"/>
    </w:r>
    <w:r>
      <w:t>DY/T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BD6A7">
    <w:pPr>
      <w:pStyle w:val="19"/>
      <w:jc w:val="left"/>
    </w:pPr>
    <w:r>
      <w:rPr>
        <w:rFonts w:ascii="黑体" w:hAnsi="宋体" w:eastAsia="黑体"/>
        <w:kern w:val="0"/>
        <w:sz w:val="21"/>
        <w:szCs w:val="20"/>
      </w:rPr>
      <w:fldChar w:fldCharType="begin"/>
    </w:r>
    <w:r>
      <w:rPr>
        <w:rFonts w:ascii="黑体" w:hAnsi="宋体" w:eastAsia="黑体"/>
        <w:kern w:val="0"/>
        <w:sz w:val="21"/>
        <w:szCs w:val="20"/>
      </w:rPr>
      <w:instrText xml:space="preserve"> STYLEREF  标准文件_文件编号 \* MERGEFORMAT </w:instrText>
    </w:r>
    <w:r>
      <w:rPr>
        <w:rFonts w:ascii="黑体" w:hAnsi="宋体" w:eastAsia="黑体"/>
        <w:kern w:val="0"/>
        <w:sz w:val="21"/>
        <w:szCs w:val="20"/>
      </w:rPr>
      <w:fldChar w:fldCharType="separate"/>
    </w:r>
    <w:r>
      <w:rPr>
        <w:rFonts w:ascii="黑体" w:hAnsi="宋体" w:eastAsia="黑体"/>
        <w:kern w:val="0"/>
        <w:sz w:val="21"/>
        <w:szCs w:val="20"/>
      </w:rPr>
      <w:t>DY/T XXXXX—XXXX</w:t>
    </w:r>
    <w:r>
      <w:rPr>
        <w:rFonts w:ascii="黑体" w:hAnsi="宋体" w:eastAsia="黑体"/>
        <w:kern w:val="0"/>
        <w:sz w:val="21"/>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AE367E9"/>
    <w:multiLevelType w:val="multilevel"/>
    <w:tmpl w:val="0AE367E9"/>
    <w:lvl w:ilvl="0" w:tentative="0">
      <w:start w:val="1"/>
      <w:numFmt w:val="none"/>
      <w:pStyle w:val="184"/>
      <w:suff w:val="nothing"/>
      <w:lvlText w:val="%1示例："/>
      <w:lvlJc w:val="left"/>
      <w:pPr>
        <w:ind w:left="420" w:firstLine="363"/>
      </w:pPr>
      <w:rPr>
        <w:rFonts w:hint="eastAsia" w:ascii="黑体" w:eastAsia="黑体"/>
        <w:b w:val="0"/>
        <w:i w:val="0"/>
        <w:sz w:val="18"/>
      </w:rPr>
    </w:lvl>
    <w:lvl w:ilvl="1" w:tentative="0">
      <w:start w:val="1"/>
      <w:numFmt w:val="lowerLetter"/>
      <w:lvlText w:val="%2)"/>
      <w:lvlJc w:val="left"/>
      <w:pPr>
        <w:tabs>
          <w:tab w:val="left" w:pos="783"/>
        </w:tabs>
        <w:ind w:left="420" w:firstLine="363"/>
      </w:pPr>
      <w:rPr>
        <w:rFonts w:hint="eastAsia"/>
      </w:rPr>
    </w:lvl>
    <w:lvl w:ilvl="2" w:tentative="0">
      <w:start w:val="1"/>
      <w:numFmt w:val="lowerRoman"/>
      <w:lvlText w:val="%3."/>
      <w:lvlJc w:val="right"/>
      <w:pPr>
        <w:tabs>
          <w:tab w:val="left" w:pos="783"/>
        </w:tabs>
        <w:ind w:left="420" w:firstLine="363"/>
      </w:pPr>
      <w:rPr>
        <w:rFonts w:hint="eastAsia"/>
      </w:rPr>
    </w:lvl>
    <w:lvl w:ilvl="3" w:tentative="0">
      <w:start w:val="1"/>
      <w:numFmt w:val="decimal"/>
      <w:lvlText w:val="%4."/>
      <w:lvlJc w:val="left"/>
      <w:pPr>
        <w:tabs>
          <w:tab w:val="left" w:pos="783"/>
        </w:tabs>
        <w:ind w:left="420" w:firstLine="363"/>
      </w:pPr>
      <w:rPr>
        <w:rFonts w:hint="eastAsia"/>
      </w:rPr>
    </w:lvl>
    <w:lvl w:ilvl="4" w:tentative="0">
      <w:start w:val="1"/>
      <w:numFmt w:val="lowerLetter"/>
      <w:lvlText w:val="%5)"/>
      <w:lvlJc w:val="left"/>
      <w:pPr>
        <w:tabs>
          <w:tab w:val="left" w:pos="783"/>
        </w:tabs>
        <w:ind w:left="420" w:firstLine="363"/>
      </w:pPr>
      <w:rPr>
        <w:rFonts w:hint="eastAsia"/>
      </w:rPr>
    </w:lvl>
    <w:lvl w:ilvl="5" w:tentative="0">
      <w:start w:val="1"/>
      <w:numFmt w:val="lowerRoman"/>
      <w:lvlText w:val="%6."/>
      <w:lvlJc w:val="right"/>
      <w:pPr>
        <w:tabs>
          <w:tab w:val="left" w:pos="783"/>
        </w:tabs>
        <w:ind w:left="420" w:firstLine="363"/>
      </w:pPr>
      <w:rPr>
        <w:rFonts w:hint="eastAsia"/>
      </w:rPr>
    </w:lvl>
    <w:lvl w:ilvl="6" w:tentative="0">
      <w:start w:val="1"/>
      <w:numFmt w:val="decimal"/>
      <w:lvlText w:val="%7."/>
      <w:lvlJc w:val="left"/>
      <w:pPr>
        <w:tabs>
          <w:tab w:val="left" w:pos="783"/>
        </w:tabs>
        <w:ind w:left="420" w:firstLine="363"/>
      </w:pPr>
      <w:rPr>
        <w:rFonts w:hint="eastAsia"/>
      </w:rPr>
    </w:lvl>
    <w:lvl w:ilvl="7" w:tentative="0">
      <w:start w:val="1"/>
      <w:numFmt w:val="lowerLetter"/>
      <w:lvlText w:val="%8)"/>
      <w:lvlJc w:val="left"/>
      <w:pPr>
        <w:tabs>
          <w:tab w:val="left" w:pos="783"/>
        </w:tabs>
        <w:ind w:left="420" w:firstLine="363"/>
      </w:pPr>
      <w:rPr>
        <w:rFonts w:hint="eastAsia"/>
      </w:rPr>
    </w:lvl>
    <w:lvl w:ilvl="8" w:tentative="0">
      <w:start w:val="1"/>
      <w:numFmt w:val="lowerRoman"/>
      <w:lvlText w:val="%9."/>
      <w:lvlJc w:val="right"/>
      <w:pPr>
        <w:tabs>
          <w:tab w:val="left" w:pos="783"/>
        </w:tabs>
        <w:ind w:left="420" w:firstLine="363"/>
      </w:pPr>
      <w:rPr>
        <w:rFonts w:hint="eastAsia"/>
      </w:rPr>
    </w:lvl>
  </w:abstractNum>
  <w:abstractNum w:abstractNumId="4">
    <w:nsid w:val="0B6D9480"/>
    <w:multiLevelType w:val="multilevel"/>
    <w:tmpl w:val="0B6D9480"/>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4C54C1"/>
    <w:multiLevelType w:val="multilevel"/>
    <w:tmpl w:val="1F4C54C1"/>
    <w:lvl w:ilvl="0" w:tentative="0">
      <w:start w:val="1"/>
      <w:numFmt w:val="lowerLetter"/>
      <w:pStyle w:val="247"/>
      <w:lvlText w:val="%1)"/>
      <w:lvlJc w:val="left"/>
      <w:pPr>
        <w:tabs>
          <w:tab w:val="left" w:pos="987"/>
        </w:tabs>
        <w:ind w:left="986" w:hanging="419"/>
      </w:pPr>
      <w:rPr>
        <w:rFonts w:hint="eastAsia"/>
        <w:b w:val="0"/>
        <w:i w:val="0"/>
        <w:sz w:val="21"/>
        <w:szCs w:val="21"/>
      </w:rPr>
    </w:lvl>
    <w:lvl w:ilvl="1" w:tentative="0">
      <w:start w:val="1"/>
      <w:numFmt w:val="decimal"/>
      <w:pStyle w:val="246"/>
      <w:lvlText w:val="%2)"/>
      <w:lvlJc w:val="left"/>
      <w:pPr>
        <w:tabs>
          <w:tab w:val="left" w:pos="1260"/>
        </w:tabs>
        <w:ind w:left="1259" w:hanging="419"/>
      </w:pPr>
      <w:rPr>
        <w:rFonts w:hint="eastAsia"/>
      </w:rPr>
    </w:lvl>
    <w:lvl w:ilvl="2" w:tentative="0">
      <w:start w:val="1"/>
      <w:numFmt w:val="decimal"/>
      <w:pStyle w:val="24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283"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38"/>
      <w:suff w:val="nothing"/>
      <w:lvlText w:val="%1.%2.%3.%4　"/>
      <w:lvlJc w:val="left"/>
      <w:pPr>
        <w:ind w:left="0" w:firstLine="0"/>
      </w:pPr>
      <w:rPr>
        <w:rFonts w:hint="eastAsia" w:ascii="黑体" w:hAnsi="Times New Roman" w:eastAsia="黑体"/>
        <w:b w:val="0"/>
        <w:i w:val="0"/>
        <w:sz w:val="21"/>
      </w:rPr>
    </w:lvl>
    <w:lvl w:ilvl="4" w:tentative="0">
      <w:start w:val="1"/>
      <w:numFmt w:val="decimal"/>
      <w:pStyle w:val="239"/>
      <w:suff w:val="nothing"/>
      <w:lvlText w:val="%1.%2.%3.%4.%5　"/>
      <w:lvlJc w:val="left"/>
      <w:pPr>
        <w:ind w:left="0" w:firstLine="0"/>
      </w:pPr>
      <w:rPr>
        <w:rFonts w:hint="eastAsia" w:ascii="黑体" w:hAnsi="Times New Roman" w:eastAsia="黑体"/>
        <w:b w:val="0"/>
        <w:i w:val="0"/>
        <w:sz w:val="21"/>
      </w:rPr>
    </w:lvl>
    <w:lvl w:ilvl="5" w:tentative="0">
      <w:start w:val="1"/>
      <w:numFmt w:val="decimal"/>
      <w:pStyle w:val="2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4EF320E6"/>
    <w:multiLevelType w:val="multilevel"/>
    <w:tmpl w:val="4EF320E6"/>
    <w:lvl w:ilvl="0" w:tentative="0">
      <w:start w:val="1"/>
      <w:numFmt w:val="none"/>
      <w:pStyle w:val="135"/>
      <w:suff w:val="nothing"/>
      <w:lvlText w:val="%1——"/>
      <w:lvlJc w:val="left"/>
      <w:pPr>
        <w:ind w:left="852" w:hanging="426"/>
      </w:pPr>
      <w:rPr>
        <w:rFonts w:hint="eastAsia" w:ascii="宋体" w:hAnsi="Times New Roman" w:eastAsia="宋体"/>
        <w:b w:val="0"/>
        <w:i w:val="0"/>
        <w:sz w:val="21"/>
      </w:rPr>
    </w:lvl>
    <w:lvl w:ilvl="1" w:tentative="0">
      <w:start w:val="1"/>
      <w:numFmt w:val="none"/>
      <w:pStyle w:val="190"/>
      <w:lvlText w:val=""/>
      <w:lvlJc w:val="left"/>
      <w:pPr>
        <w:ind w:left="709" w:hanging="431"/>
      </w:pPr>
      <w:rPr>
        <w:rFonts w:hint="default" w:ascii="Symbol" w:hAnsi="Symbol"/>
        <w:sz w:val="21"/>
      </w:rPr>
    </w:lvl>
    <w:lvl w:ilvl="2" w:tentative="0">
      <w:start w:val="1"/>
      <w:numFmt w:val="bullet"/>
      <w:pStyle w:val="175"/>
      <w:lvlText w:val=""/>
      <w:lvlJc w:val="left"/>
      <w:pPr>
        <w:ind w:left="709" w:hanging="426"/>
      </w:pPr>
      <w:rPr>
        <w:rFonts w:hint="default" w:ascii="Wingdings" w:hAnsi="Wingdings"/>
        <w:sz w:val="21"/>
      </w:rPr>
    </w:lvl>
    <w:lvl w:ilvl="3" w:tentative="0">
      <w:start w:val="1"/>
      <w:numFmt w:val="decimal"/>
      <w:lvlText w:val="%4."/>
      <w:lvlJc w:val="left"/>
      <w:pPr>
        <w:tabs>
          <w:tab w:val="left" w:pos="1929"/>
        </w:tabs>
        <w:ind w:left="1742" w:hanging="528"/>
      </w:pPr>
      <w:rPr>
        <w:rFonts w:hint="eastAsia"/>
      </w:rPr>
    </w:lvl>
    <w:lvl w:ilvl="4" w:tentative="0">
      <w:start w:val="1"/>
      <w:numFmt w:val="lowerLetter"/>
      <w:lvlText w:val="%5)"/>
      <w:lvlJc w:val="left"/>
      <w:pPr>
        <w:tabs>
          <w:tab w:val="left" w:pos="2241"/>
        </w:tabs>
        <w:ind w:left="2054" w:hanging="528"/>
      </w:pPr>
      <w:rPr>
        <w:rFonts w:hint="eastAsia"/>
      </w:rPr>
    </w:lvl>
    <w:lvl w:ilvl="5" w:tentative="0">
      <w:start w:val="1"/>
      <w:numFmt w:val="lowerRoman"/>
      <w:lvlText w:val="%6."/>
      <w:lvlJc w:val="right"/>
      <w:pPr>
        <w:tabs>
          <w:tab w:val="left" w:pos="2553"/>
        </w:tabs>
        <w:ind w:left="2366" w:hanging="528"/>
      </w:pPr>
      <w:rPr>
        <w:rFonts w:hint="eastAsia"/>
      </w:rPr>
    </w:lvl>
    <w:lvl w:ilvl="6" w:tentative="0">
      <w:start w:val="1"/>
      <w:numFmt w:val="decimal"/>
      <w:lvlText w:val="%7."/>
      <w:lvlJc w:val="left"/>
      <w:pPr>
        <w:tabs>
          <w:tab w:val="left" w:pos="2865"/>
        </w:tabs>
        <w:ind w:left="2678" w:hanging="528"/>
      </w:pPr>
      <w:rPr>
        <w:rFonts w:hint="eastAsia"/>
      </w:rPr>
    </w:lvl>
    <w:lvl w:ilvl="7" w:tentative="0">
      <w:start w:val="1"/>
      <w:numFmt w:val="lowerLetter"/>
      <w:lvlText w:val="%8)"/>
      <w:lvlJc w:val="left"/>
      <w:pPr>
        <w:tabs>
          <w:tab w:val="left" w:pos="3177"/>
        </w:tabs>
        <w:ind w:left="2990" w:hanging="528"/>
      </w:pPr>
      <w:rPr>
        <w:rFonts w:hint="eastAsia"/>
      </w:rPr>
    </w:lvl>
    <w:lvl w:ilvl="8" w:tentative="0">
      <w:start w:val="1"/>
      <w:numFmt w:val="lowerRoman"/>
      <w:lvlText w:val="%9."/>
      <w:lvlJc w:val="right"/>
      <w:pPr>
        <w:tabs>
          <w:tab w:val="left" w:pos="3489"/>
        </w:tabs>
        <w:ind w:left="3302" w:hanging="528"/>
      </w:pPr>
      <w:rPr>
        <w:rFonts w:hint="eastAsia"/>
      </w:rPr>
    </w:lvl>
  </w:abstractNum>
  <w:abstractNum w:abstractNumId="18">
    <w:nsid w:val="4F227FE6"/>
    <w:multiLevelType w:val="multilevel"/>
    <w:tmpl w:val="4F227FE6"/>
    <w:lvl w:ilvl="0" w:tentative="0">
      <w:start w:val="1"/>
      <w:numFmt w:val="upperLetter"/>
      <w:lvlText w:val="%1"/>
      <w:lvlJc w:val="left"/>
      <w:pPr>
        <w:ind w:left="420" w:hanging="420"/>
      </w:pPr>
      <w:rPr>
        <w:rFonts w:hint="eastAsia" w:ascii="宋体" w:hAnsi="宋体" w:eastAsia="宋体"/>
      </w:rPr>
    </w:lvl>
    <w:lvl w:ilvl="1" w:tentative="0">
      <w:start w:val="1"/>
      <w:numFmt w:val="decimal"/>
      <w:suff w:val="space"/>
      <w:lvlText w:val="图%1.%2"/>
      <w:lvlJc w:val="center"/>
      <w:pPr>
        <w:ind w:left="0" w:firstLine="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5"/>
      <w:suff w:val="nothing"/>
      <w:lvlText w:val="表%1　"/>
      <w:lvlJc w:val="left"/>
      <w:pPr>
        <w:ind w:left="1985"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9"/>
      <w:suff w:val="nothing"/>
      <w:lvlText w:val="附录%1"/>
      <w:lvlJc w:val="left"/>
      <w:pPr>
        <w:ind w:left="4253"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AE2147"/>
    <w:multiLevelType w:val="multilevel"/>
    <w:tmpl w:val="7BAE2147"/>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0"/>
  </w:num>
  <w:num w:numId="3">
    <w:abstractNumId w:val="5"/>
  </w:num>
  <w:num w:numId="4">
    <w:abstractNumId w:val="26"/>
  </w:num>
  <w:num w:numId="5">
    <w:abstractNumId w:val="21"/>
  </w:num>
  <w:num w:numId="6">
    <w:abstractNumId w:val="14"/>
  </w:num>
  <w:num w:numId="7">
    <w:abstractNumId w:val="8"/>
  </w:num>
  <w:num w:numId="8">
    <w:abstractNumId w:val="2"/>
  </w:num>
  <w:num w:numId="9">
    <w:abstractNumId w:val="9"/>
  </w:num>
  <w:num w:numId="10">
    <w:abstractNumId w:val="19"/>
  </w:num>
  <w:num w:numId="11">
    <w:abstractNumId w:val="28"/>
  </w:num>
  <w:num w:numId="12">
    <w:abstractNumId w:val="12"/>
  </w:num>
  <w:num w:numId="13">
    <w:abstractNumId w:val="13"/>
  </w:num>
  <w:num w:numId="14">
    <w:abstractNumId w:val="7"/>
  </w:num>
  <w:num w:numId="15">
    <w:abstractNumId w:val="22"/>
  </w:num>
  <w:num w:numId="16">
    <w:abstractNumId w:val="24"/>
  </w:num>
  <w:num w:numId="17">
    <w:abstractNumId w:val="20"/>
  </w:num>
  <w:num w:numId="18">
    <w:abstractNumId w:val="32"/>
  </w:num>
  <w:num w:numId="19">
    <w:abstractNumId w:val="16"/>
  </w:num>
  <w:num w:numId="20">
    <w:abstractNumId w:val="1"/>
  </w:num>
  <w:num w:numId="21">
    <w:abstractNumId w:val="17"/>
  </w:num>
  <w:num w:numId="22">
    <w:abstractNumId w:val="33"/>
  </w:num>
  <w:num w:numId="23">
    <w:abstractNumId w:val="23"/>
  </w:num>
  <w:num w:numId="24">
    <w:abstractNumId w:val="6"/>
  </w:num>
  <w:num w:numId="25">
    <w:abstractNumId w:val="29"/>
  </w:num>
  <w:num w:numId="26">
    <w:abstractNumId w:val="31"/>
  </w:num>
  <w:num w:numId="27">
    <w:abstractNumId w:val="4"/>
  </w:num>
  <w:num w:numId="28">
    <w:abstractNumId w:val="3"/>
  </w:num>
  <w:num w:numId="29">
    <w:abstractNumId w:val="15"/>
  </w:num>
  <w:num w:numId="30">
    <w:abstractNumId w:val="27"/>
  </w:num>
  <w:num w:numId="31">
    <w:abstractNumId w:val="25"/>
  </w:num>
  <w:num w:numId="32">
    <w:abstractNumId w:val="11"/>
  </w:num>
  <w:num w:numId="33">
    <w:abstractNumId w:val="10"/>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F"/>
    <w:rsid w:val="0000040A"/>
    <w:rsid w:val="00000A94"/>
    <w:rsid w:val="00001972"/>
    <w:rsid w:val="00001D9A"/>
    <w:rsid w:val="00006093"/>
    <w:rsid w:val="00007B3A"/>
    <w:rsid w:val="000107E0"/>
    <w:rsid w:val="000109E2"/>
    <w:rsid w:val="00010EAB"/>
    <w:rsid w:val="00011FDE"/>
    <w:rsid w:val="00012FFD"/>
    <w:rsid w:val="00014162"/>
    <w:rsid w:val="00014340"/>
    <w:rsid w:val="00016A9C"/>
    <w:rsid w:val="00022184"/>
    <w:rsid w:val="00022714"/>
    <w:rsid w:val="00022762"/>
    <w:rsid w:val="000238E0"/>
    <w:rsid w:val="0002442B"/>
    <w:rsid w:val="000249DB"/>
    <w:rsid w:val="0002595E"/>
    <w:rsid w:val="000303C3"/>
    <w:rsid w:val="000329F0"/>
    <w:rsid w:val="000331D3"/>
    <w:rsid w:val="000346A5"/>
    <w:rsid w:val="000348E2"/>
    <w:rsid w:val="000359C3"/>
    <w:rsid w:val="00035A7D"/>
    <w:rsid w:val="00035DB3"/>
    <w:rsid w:val="000366B1"/>
    <w:rsid w:val="0004245C"/>
    <w:rsid w:val="0004249A"/>
    <w:rsid w:val="00043282"/>
    <w:rsid w:val="00044286"/>
    <w:rsid w:val="00047F28"/>
    <w:rsid w:val="00047F8C"/>
    <w:rsid w:val="000503AA"/>
    <w:rsid w:val="000506A1"/>
    <w:rsid w:val="000515DD"/>
    <w:rsid w:val="0005165C"/>
    <w:rsid w:val="0005265A"/>
    <w:rsid w:val="000539DD"/>
    <w:rsid w:val="00053BD3"/>
    <w:rsid w:val="000556ED"/>
    <w:rsid w:val="00055FE2"/>
    <w:rsid w:val="0005616F"/>
    <w:rsid w:val="0005632E"/>
    <w:rsid w:val="00060C2E"/>
    <w:rsid w:val="00061033"/>
    <w:rsid w:val="000619E9"/>
    <w:rsid w:val="000622D4"/>
    <w:rsid w:val="0006357D"/>
    <w:rsid w:val="00064172"/>
    <w:rsid w:val="000653F1"/>
    <w:rsid w:val="00067F1E"/>
    <w:rsid w:val="00071CC0"/>
    <w:rsid w:val="00073C8C"/>
    <w:rsid w:val="00077B64"/>
    <w:rsid w:val="00080A1C"/>
    <w:rsid w:val="00081DF2"/>
    <w:rsid w:val="00082317"/>
    <w:rsid w:val="00083D2C"/>
    <w:rsid w:val="0008438D"/>
    <w:rsid w:val="00086AA1"/>
    <w:rsid w:val="00087A77"/>
    <w:rsid w:val="000906C8"/>
    <w:rsid w:val="00090CA6"/>
    <w:rsid w:val="00091D83"/>
    <w:rsid w:val="00092B8A"/>
    <w:rsid w:val="00092FB0"/>
    <w:rsid w:val="000934C5"/>
    <w:rsid w:val="000935CA"/>
    <w:rsid w:val="00093D25"/>
    <w:rsid w:val="00093DAB"/>
    <w:rsid w:val="00094D73"/>
    <w:rsid w:val="00096D63"/>
    <w:rsid w:val="000A0B60"/>
    <w:rsid w:val="000A0D2B"/>
    <w:rsid w:val="000A0EB8"/>
    <w:rsid w:val="000A19FC"/>
    <w:rsid w:val="000A25C9"/>
    <w:rsid w:val="000A296B"/>
    <w:rsid w:val="000A2F63"/>
    <w:rsid w:val="000A3321"/>
    <w:rsid w:val="000A4506"/>
    <w:rsid w:val="000A7311"/>
    <w:rsid w:val="000B060F"/>
    <w:rsid w:val="000B1592"/>
    <w:rsid w:val="000B1FF2"/>
    <w:rsid w:val="000B3CDA"/>
    <w:rsid w:val="000B6A0B"/>
    <w:rsid w:val="000B70A5"/>
    <w:rsid w:val="000C0F6C"/>
    <w:rsid w:val="000C11DB"/>
    <w:rsid w:val="000C1492"/>
    <w:rsid w:val="000C2FBD"/>
    <w:rsid w:val="000C397E"/>
    <w:rsid w:val="000C4B41"/>
    <w:rsid w:val="000C57D6"/>
    <w:rsid w:val="000C7666"/>
    <w:rsid w:val="000C7A14"/>
    <w:rsid w:val="000D0A9C"/>
    <w:rsid w:val="000D1795"/>
    <w:rsid w:val="000D2A9C"/>
    <w:rsid w:val="000D329A"/>
    <w:rsid w:val="000D32E5"/>
    <w:rsid w:val="000D3BB0"/>
    <w:rsid w:val="000D4B9C"/>
    <w:rsid w:val="000D4EB6"/>
    <w:rsid w:val="000D64F6"/>
    <w:rsid w:val="000D753B"/>
    <w:rsid w:val="000E4C9E"/>
    <w:rsid w:val="000E6732"/>
    <w:rsid w:val="000E6FD7"/>
    <w:rsid w:val="000F06E1"/>
    <w:rsid w:val="000F0E3C"/>
    <w:rsid w:val="000F175B"/>
    <w:rsid w:val="000F19D5"/>
    <w:rsid w:val="000F2522"/>
    <w:rsid w:val="000F328D"/>
    <w:rsid w:val="000F3AB7"/>
    <w:rsid w:val="000F4AEA"/>
    <w:rsid w:val="000F67E9"/>
    <w:rsid w:val="00104926"/>
    <w:rsid w:val="001117EF"/>
    <w:rsid w:val="00113B1E"/>
    <w:rsid w:val="0011711C"/>
    <w:rsid w:val="00121659"/>
    <w:rsid w:val="00121914"/>
    <w:rsid w:val="001249EF"/>
    <w:rsid w:val="00124E4F"/>
    <w:rsid w:val="001251F9"/>
    <w:rsid w:val="001260B7"/>
    <w:rsid w:val="001265CB"/>
    <w:rsid w:val="001266AB"/>
    <w:rsid w:val="00130197"/>
    <w:rsid w:val="001321C6"/>
    <w:rsid w:val="00132356"/>
    <w:rsid w:val="001325C4"/>
    <w:rsid w:val="001328BD"/>
    <w:rsid w:val="00133010"/>
    <w:rsid w:val="001338EE"/>
    <w:rsid w:val="00133AAE"/>
    <w:rsid w:val="00135323"/>
    <w:rsid w:val="001356C4"/>
    <w:rsid w:val="00135960"/>
    <w:rsid w:val="00136563"/>
    <w:rsid w:val="00140A21"/>
    <w:rsid w:val="00141114"/>
    <w:rsid w:val="00142969"/>
    <w:rsid w:val="001457E7"/>
    <w:rsid w:val="00145D9D"/>
    <w:rsid w:val="00146388"/>
    <w:rsid w:val="001529E5"/>
    <w:rsid w:val="00153C7E"/>
    <w:rsid w:val="00156B25"/>
    <w:rsid w:val="00156E1A"/>
    <w:rsid w:val="001577D6"/>
    <w:rsid w:val="00157B55"/>
    <w:rsid w:val="0016040F"/>
    <w:rsid w:val="0016106E"/>
    <w:rsid w:val="001642FA"/>
    <w:rsid w:val="001649EB"/>
    <w:rsid w:val="00164BAF"/>
    <w:rsid w:val="00164FA8"/>
    <w:rsid w:val="00165065"/>
    <w:rsid w:val="00165434"/>
    <w:rsid w:val="00165650"/>
    <w:rsid w:val="0016580B"/>
    <w:rsid w:val="00165F49"/>
    <w:rsid w:val="0016695B"/>
    <w:rsid w:val="00166B88"/>
    <w:rsid w:val="0016770A"/>
    <w:rsid w:val="00170594"/>
    <w:rsid w:val="00170804"/>
    <w:rsid w:val="001708E9"/>
    <w:rsid w:val="0017340B"/>
    <w:rsid w:val="00173FB1"/>
    <w:rsid w:val="00175703"/>
    <w:rsid w:val="00176DFD"/>
    <w:rsid w:val="00180BA1"/>
    <w:rsid w:val="00181CAF"/>
    <w:rsid w:val="001852C9"/>
    <w:rsid w:val="001857E7"/>
    <w:rsid w:val="00190087"/>
    <w:rsid w:val="001913C4"/>
    <w:rsid w:val="00191E68"/>
    <w:rsid w:val="0019348F"/>
    <w:rsid w:val="00193A07"/>
    <w:rsid w:val="00194C95"/>
    <w:rsid w:val="00195C34"/>
    <w:rsid w:val="001967C6"/>
    <w:rsid w:val="001A0264"/>
    <w:rsid w:val="001A1A53"/>
    <w:rsid w:val="001A1D98"/>
    <w:rsid w:val="001A234A"/>
    <w:rsid w:val="001A3302"/>
    <w:rsid w:val="001A5ADE"/>
    <w:rsid w:val="001B06E8"/>
    <w:rsid w:val="001B0AAB"/>
    <w:rsid w:val="001B193E"/>
    <w:rsid w:val="001B71D0"/>
    <w:rsid w:val="001B71EE"/>
    <w:rsid w:val="001B775C"/>
    <w:rsid w:val="001C04A8"/>
    <w:rsid w:val="001C077B"/>
    <w:rsid w:val="001C1649"/>
    <w:rsid w:val="001C1746"/>
    <w:rsid w:val="001C2C03"/>
    <w:rsid w:val="001C42F7"/>
    <w:rsid w:val="001C49E5"/>
    <w:rsid w:val="001C5955"/>
    <w:rsid w:val="001C680C"/>
    <w:rsid w:val="001C6CE5"/>
    <w:rsid w:val="001C7FEA"/>
    <w:rsid w:val="001D0499"/>
    <w:rsid w:val="001D0BBE"/>
    <w:rsid w:val="001D0ED4"/>
    <w:rsid w:val="001D212F"/>
    <w:rsid w:val="001D29D7"/>
    <w:rsid w:val="001D2DE7"/>
    <w:rsid w:val="001D411C"/>
    <w:rsid w:val="001E0874"/>
    <w:rsid w:val="001E1B6A"/>
    <w:rsid w:val="001E2484"/>
    <w:rsid w:val="001E3CC4"/>
    <w:rsid w:val="001E3DA0"/>
    <w:rsid w:val="001E4882"/>
    <w:rsid w:val="001E73AB"/>
    <w:rsid w:val="001F092D"/>
    <w:rsid w:val="001F0A9F"/>
    <w:rsid w:val="001F143A"/>
    <w:rsid w:val="001F1605"/>
    <w:rsid w:val="001F1F1E"/>
    <w:rsid w:val="001F2508"/>
    <w:rsid w:val="001F3AD9"/>
    <w:rsid w:val="001F4816"/>
    <w:rsid w:val="001F50B9"/>
    <w:rsid w:val="001F69B4"/>
    <w:rsid w:val="001F77C7"/>
    <w:rsid w:val="00200183"/>
    <w:rsid w:val="00200662"/>
    <w:rsid w:val="0020107D"/>
    <w:rsid w:val="00202AA4"/>
    <w:rsid w:val="00203092"/>
    <w:rsid w:val="002031F7"/>
    <w:rsid w:val="002039B6"/>
    <w:rsid w:val="002040E6"/>
    <w:rsid w:val="0020527B"/>
    <w:rsid w:val="0020594C"/>
    <w:rsid w:val="002059B9"/>
    <w:rsid w:val="00205F2C"/>
    <w:rsid w:val="002073C5"/>
    <w:rsid w:val="00207406"/>
    <w:rsid w:val="002100AC"/>
    <w:rsid w:val="002102B2"/>
    <w:rsid w:val="00210B15"/>
    <w:rsid w:val="002142EA"/>
    <w:rsid w:val="002204BB"/>
    <w:rsid w:val="00221A62"/>
    <w:rsid w:val="00221AFC"/>
    <w:rsid w:val="00221B79"/>
    <w:rsid w:val="00221C6B"/>
    <w:rsid w:val="00224596"/>
    <w:rsid w:val="002253A1"/>
    <w:rsid w:val="00225CF8"/>
    <w:rsid w:val="0022656C"/>
    <w:rsid w:val="0022794E"/>
    <w:rsid w:val="00227F2A"/>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E4F"/>
    <w:rsid w:val="002621C5"/>
    <w:rsid w:val="00262696"/>
    <w:rsid w:val="002643C3"/>
    <w:rsid w:val="00264A0C"/>
    <w:rsid w:val="00265D65"/>
    <w:rsid w:val="00267EF4"/>
    <w:rsid w:val="00270CB8"/>
    <w:rsid w:val="00272B08"/>
    <w:rsid w:val="00274942"/>
    <w:rsid w:val="0028074F"/>
    <w:rsid w:val="00281BB8"/>
    <w:rsid w:val="00281E9E"/>
    <w:rsid w:val="00283472"/>
    <w:rsid w:val="00285170"/>
    <w:rsid w:val="00285361"/>
    <w:rsid w:val="00287A8F"/>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9BE"/>
    <w:rsid w:val="002B7332"/>
    <w:rsid w:val="002B7504"/>
    <w:rsid w:val="002B7F51"/>
    <w:rsid w:val="002C09E7"/>
    <w:rsid w:val="002C275A"/>
    <w:rsid w:val="002C3728"/>
    <w:rsid w:val="002C3F07"/>
    <w:rsid w:val="002C5278"/>
    <w:rsid w:val="002C7EBB"/>
    <w:rsid w:val="002D06C1"/>
    <w:rsid w:val="002D42B5"/>
    <w:rsid w:val="002D4F1A"/>
    <w:rsid w:val="002D6DA6"/>
    <w:rsid w:val="002D6EC6"/>
    <w:rsid w:val="002D7497"/>
    <w:rsid w:val="002D79AC"/>
    <w:rsid w:val="002E039D"/>
    <w:rsid w:val="002E4D5A"/>
    <w:rsid w:val="002E6326"/>
    <w:rsid w:val="002E7903"/>
    <w:rsid w:val="002F30E0"/>
    <w:rsid w:val="002F35E4"/>
    <w:rsid w:val="002F3730"/>
    <w:rsid w:val="002F38E1"/>
    <w:rsid w:val="002F5ADB"/>
    <w:rsid w:val="002F7AF6"/>
    <w:rsid w:val="00300E63"/>
    <w:rsid w:val="00301950"/>
    <w:rsid w:val="00302F5F"/>
    <w:rsid w:val="0030441D"/>
    <w:rsid w:val="00305811"/>
    <w:rsid w:val="00306063"/>
    <w:rsid w:val="003133AE"/>
    <w:rsid w:val="0031354E"/>
    <w:rsid w:val="00313B85"/>
    <w:rsid w:val="00317988"/>
    <w:rsid w:val="00320D9F"/>
    <w:rsid w:val="003211AF"/>
    <w:rsid w:val="00321BB1"/>
    <w:rsid w:val="003221B4"/>
    <w:rsid w:val="00322E62"/>
    <w:rsid w:val="00324EDD"/>
    <w:rsid w:val="0032660D"/>
    <w:rsid w:val="0032699A"/>
    <w:rsid w:val="003331E4"/>
    <w:rsid w:val="00334EA2"/>
    <w:rsid w:val="00336C64"/>
    <w:rsid w:val="00337162"/>
    <w:rsid w:val="003374B5"/>
    <w:rsid w:val="00337D67"/>
    <w:rsid w:val="0034194F"/>
    <w:rsid w:val="003419D3"/>
    <w:rsid w:val="003440D6"/>
    <w:rsid w:val="00344605"/>
    <w:rsid w:val="003474AA"/>
    <w:rsid w:val="00350B7E"/>
    <w:rsid w:val="00350D1D"/>
    <w:rsid w:val="00351176"/>
    <w:rsid w:val="003516C0"/>
    <w:rsid w:val="00352C83"/>
    <w:rsid w:val="00353A6B"/>
    <w:rsid w:val="00354F19"/>
    <w:rsid w:val="00360F78"/>
    <w:rsid w:val="003615D2"/>
    <w:rsid w:val="003632D5"/>
    <w:rsid w:val="0036429C"/>
    <w:rsid w:val="00364A53"/>
    <w:rsid w:val="003650CE"/>
    <w:rsid w:val="003654CB"/>
    <w:rsid w:val="00365F86"/>
    <w:rsid w:val="00365F87"/>
    <w:rsid w:val="00366F90"/>
    <w:rsid w:val="003705F4"/>
    <w:rsid w:val="00370D58"/>
    <w:rsid w:val="00371316"/>
    <w:rsid w:val="00372263"/>
    <w:rsid w:val="003754A7"/>
    <w:rsid w:val="00376713"/>
    <w:rsid w:val="00381815"/>
    <w:rsid w:val="003819AF"/>
    <w:rsid w:val="003820E9"/>
    <w:rsid w:val="00382DE7"/>
    <w:rsid w:val="00383A84"/>
    <w:rsid w:val="00384FFC"/>
    <w:rsid w:val="00385C5D"/>
    <w:rsid w:val="003872FC"/>
    <w:rsid w:val="0038758F"/>
    <w:rsid w:val="00387ADC"/>
    <w:rsid w:val="00390020"/>
    <w:rsid w:val="003903D6"/>
    <w:rsid w:val="00390EE6"/>
    <w:rsid w:val="0039118F"/>
    <w:rsid w:val="00392AD7"/>
    <w:rsid w:val="003938D9"/>
    <w:rsid w:val="00394376"/>
    <w:rsid w:val="003943FF"/>
    <w:rsid w:val="00396163"/>
    <w:rsid w:val="003974EB"/>
    <w:rsid w:val="003976F1"/>
    <w:rsid w:val="00397CC5"/>
    <w:rsid w:val="003A1582"/>
    <w:rsid w:val="003A2D5A"/>
    <w:rsid w:val="003A4077"/>
    <w:rsid w:val="003A5917"/>
    <w:rsid w:val="003B09AD"/>
    <w:rsid w:val="003B0BD9"/>
    <w:rsid w:val="003B1F18"/>
    <w:rsid w:val="003B5746"/>
    <w:rsid w:val="003B5BF0"/>
    <w:rsid w:val="003B60BF"/>
    <w:rsid w:val="003B6BE3"/>
    <w:rsid w:val="003B71E9"/>
    <w:rsid w:val="003C010C"/>
    <w:rsid w:val="003C0A6C"/>
    <w:rsid w:val="003C22DF"/>
    <w:rsid w:val="003C2F09"/>
    <w:rsid w:val="003C3AD8"/>
    <w:rsid w:val="003C5A43"/>
    <w:rsid w:val="003D0519"/>
    <w:rsid w:val="003D0FF6"/>
    <w:rsid w:val="003D217E"/>
    <w:rsid w:val="003D262C"/>
    <w:rsid w:val="003D6D61"/>
    <w:rsid w:val="003E023F"/>
    <w:rsid w:val="003E091D"/>
    <w:rsid w:val="003E1312"/>
    <w:rsid w:val="003E1C53"/>
    <w:rsid w:val="003E2A69"/>
    <w:rsid w:val="003E2CE4"/>
    <w:rsid w:val="003E2D49"/>
    <w:rsid w:val="003E2FD4"/>
    <w:rsid w:val="003E49F6"/>
    <w:rsid w:val="003F0841"/>
    <w:rsid w:val="003F23D3"/>
    <w:rsid w:val="003F3F08"/>
    <w:rsid w:val="003F49F1"/>
    <w:rsid w:val="003F6272"/>
    <w:rsid w:val="003F72A3"/>
    <w:rsid w:val="00400E72"/>
    <w:rsid w:val="00401400"/>
    <w:rsid w:val="0040333F"/>
    <w:rsid w:val="00404869"/>
    <w:rsid w:val="00404A7F"/>
    <w:rsid w:val="00405884"/>
    <w:rsid w:val="00407D39"/>
    <w:rsid w:val="00407E5F"/>
    <w:rsid w:val="004100B8"/>
    <w:rsid w:val="0041327B"/>
    <w:rsid w:val="0041477A"/>
    <w:rsid w:val="00415E1F"/>
    <w:rsid w:val="004167A3"/>
    <w:rsid w:val="00421BA4"/>
    <w:rsid w:val="0042554C"/>
    <w:rsid w:val="00427080"/>
    <w:rsid w:val="00432DAA"/>
    <w:rsid w:val="0043320A"/>
    <w:rsid w:val="00434305"/>
    <w:rsid w:val="00434A05"/>
    <w:rsid w:val="00435DF7"/>
    <w:rsid w:val="00436CDC"/>
    <w:rsid w:val="0044083F"/>
    <w:rsid w:val="00441AE7"/>
    <w:rsid w:val="00442C44"/>
    <w:rsid w:val="00443BC0"/>
    <w:rsid w:val="00444218"/>
    <w:rsid w:val="00445574"/>
    <w:rsid w:val="004467FB"/>
    <w:rsid w:val="00450B1E"/>
    <w:rsid w:val="00452D6B"/>
    <w:rsid w:val="00454484"/>
    <w:rsid w:val="0045517B"/>
    <w:rsid w:val="00455470"/>
    <w:rsid w:val="004637A6"/>
    <w:rsid w:val="00463B77"/>
    <w:rsid w:val="00463C7B"/>
    <w:rsid w:val="004644A6"/>
    <w:rsid w:val="004659BD"/>
    <w:rsid w:val="00470775"/>
    <w:rsid w:val="004715BD"/>
    <w:rsid w:val="00471BBA"/>
    <w:rsid w:val="00474473"/>
    <w:rsid w:val="004746B1"/>
    <w:rsid w:val="0047583F"/>
    <w:rsid w:val="0047604B"/>
    <w:rsid w:val="00484822"/>
    <w:rsid w:val="00484936"/>
    <w:rsid w:val="00485C89"/>
    <w:rsid w:val="00486BE3"/>
    <w:rsid w:val="004905E4"/>
    <w:rsid w:val="00490A89"/>
    <w:rsid w:val="00490AB4"/>
    <w:rsid w:val="00490C13"/>
    <w:rsid w:val="004920D8"/>
    <w:rsid w:val="00492F02"/>
    <w:rsid w:val="00493961"/>
    <w:rsid w:val="004939AE"/>
    <w:rsid w:val="0049536F"/>
    <w:rsid w:val="00497CE8"/>
    <w:rsid w:val="004A12DF"/>
    <w:rsid w:val="004A1BA8"/>
    <w:rsid w:val="004A20BE"/>
    <w:rsid w:val="004A22D5"/>
    <w:rsid w:val="004A4B57"/>
    <w:rsid w:val="004A63FA"/>
    <w:rsid w:val="004B0272"/>
    <w:rsid w:val="004B1838"/>
    <w:rsid w:val="004B2701"/>
    <w:rsid w:val="004B2E1B"/>
    <w:rsid w:val="004B38B1"/>
    <w:rsid w:val="004B3E93"/>
    <w:rsid w:val="004B6DDF"/>
    <w:rsid w:val="004C078D"/>
    <w:rsid w:val="004C0FC8"/>
    <w:rsid w:val="004C1FBC"/>
    <w:rsid w:val="004C3F1D"/>
    <w:rsid w:val="004C458D"/>
    <w:rsid w:val="004C7556"/>
    <w:rsid w:val="004C7E9D"/>
    <w:rsid w:val="004C7F67"/>
    <w:rsid w:val="004D076D"/>
    <w:rsid w:val="004D0EF1"/>
    <w:rsid w:val="004D189E"/>
    <w:rsid w:val="004D2253"/>
    <w:rsid w:val="004D2F0A"/>
    <w:rsid w:val="004D310E"/>
    <w:rsid w:val="004D4406"/>
    <w:rsid w:val="004D4B55"/>
    <w:rsid w:val="004D7C42"/>
    <w:rsid w:val="004E0465"/>
    <w:rsid w:val="004E127B"/>
    <w:rsid w:val="004E1C0A"/>
    <w:rsid w:val="004E30C5"/>
    <w:rsid w:val="004E4AA5"/>
    <w:rsid w:val="004E4AEE"/>
    <w:rsid w:val="004E59E3"/>
    <w:rsid w:val="004E67C0"/>
    <w:rsid w:val="004F056E"/>
    <w:rsid w:val="004F0B45"/>
    <w:rsid w:val="004F1823"/>
    <w:rsid w:val="004F2A44"/>
    <w:rsid w:val="004F391A"/>
    <w:rsid w:val="004F3CFB"/>
    <w:rsid w:val="004F4B4C"/>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9F0"/>
    <w:rsid w:val="00516B0B"/>
    <w:rsid w:val="005207F4"/>
    <w:rsid w:val="005213AB"/>
    <w:rsid w:val="005220EC"/>
    <w:rsid w:val="00523F95"/>
    <w:rsid w:val="00524D65"/>
    <w:rsid w:val="00525B16"/>
    <w:rsid w:val="00527AF8"/>
    <w:rsid w:val="0053122B"/>
    <w:rsid w:val="00531406"/>
    <w:rsid w:val="00533D04"/>
    <w:rsid w:val="00534804"/>
    <w:rsid w:val="00534BDF"/>
    <w:rsid w:val="005354EA"/>
    <w:rsid w:val="00535EC4"/>
    <w:rsid w:val="00535ED9"/>
    <w:rsid w:val="0053692B"/>
    <w:rsid w:val="00537EAA"/>
    <w:rsid w:val="00541853"/>
    <w:rsid w:val="00543BDA"/>
    <w:rsid w:val="005441CC"/>
    <w:rsid w:val="00547052"/>
    <w:rsid w:val="005473DB"/>
    <w:rsid w:val="005479DA"/>
    <w:rsid w:val="00547BCC"/>
    <w:rsid w:val="0055013B"/>
    <w:rsid w:val="005519CF"/>
    <w:rsid w:val="00551F6F"/>
    <w:rsid w:val="00555044"/>
    <w:rsid w:val="00555300"/>
    <w:rsid w:val="00561475"/>
    <w:rsid w:val="005632C0"/>
    <w:rsid w:val="0056487B"/>
    <w:rsid w:val="00564FB9"/>
    <w:rsid w:val="005673F8"/>
    <w:rsid w:val="0056780B"/>
    <w:rsid w:val="0057135F"/>
    <w:rsid w:val="0057343B"/>
    <w:rsid w:val="00573779"/>
    <w:rsid w:val="00573D9E"/>
    <w:rsid w:val="00573FB2"/>
    <w:rsid w:val="00575AFC"/>
    <w:rsid w:val="005801E3"/>
    <w:rsid w:val="00580D80"/>
    <w:rsid w:val="00581802"/>
    <w:rsid w:val="005836A8"/>
    <w:rsid w:val="0058409C"/>
    <w:rsid w:val="00584262"/>
    <w:rsid w:val="00584BC0"/>
    <w:rsid w:val="00586630"/>
    <w:rsid w:val="005879E8"/>
    <w:rsid w:val="00587ADD"/>
    <w:rsid w:val="0059107C"/>
    <w:rsid w:val="00591122"/>
    <w:rsid w:val="00594C70"/>
    <w:rsid w:val="00595D38"/>
    <w:rsid w:val="00596160"/>
    <w:rsid w:val="005966E2"/>
    <w:rsid w:val="00596873"/>
    <w:rsid w:val="00597007"/>
    <w:rsid w:val="00597914"/>
    <w:rsid w:val="005A0966"/>
    <w:rsid w:val="005A11B7"/>
    <w:rsid w:val="005A260B"/>
    <w:rsid w:val="005A4A1B"/>
    <w:rsid w:val="005A5FE6"/>
    <w:rsid w:val="005A67C1"/>
    <w:rsid w:val="005A7830"/>
    <w:rsid w:val="005A7FCE"/>
    <w:rsid w:val="005B0F3F"/>
    <w:rsid w:val="005B1A05"/>
    <w:rsid w:val="005B38AE"/>
    <w:rsid w:val="005B4566"/>
    <w:rsid w:val="005B4903"/>
    <w:rsid w:val="005B51CE"/>
    <w:rsid w:val="005B5885"/>
    <w:rsid w:val="005B5CD7"/>
    <w:rsid w:val="005B6CF6"/>
    <w:rsid w:val="005B7422"/>
    <w:rsid w:val="005C1848"/>
    <w:rsid w:val="005C29B8"/>
    <w:rsid w:val="005C5F21"/>
    <w:rsid w:val="005C7156"/>
    <w:rsid w:val="005D0C75"/>
    <w:rsid w:val="005D0E91"/>
    <w:rsid w:val="005D1E63"/>
    <w:rsid w:val="005D4121"/>
    <w:rsid w:val="005D4171"/>
    <w:rsid w:val="005D452A"/>
    <w:rsid w:val="005D6A95"/>
    <w:rsid w:val="005D6B2C"/>
    <w:rsid w:val="005D6D9C"/>
    <w:rsid w:val="005E0D7D"/>
    <w:rsid w:val="005E2335"/>
    <w:rsid w:val="005E34CA"/>
    <w:rsid w:val="005E3C18"/>
    <w:rsid w:val="005E6812"/>
    <w:rsid w:val="005E7829"/>
    <w:rsid w:val="005E7881"/>
    <w:rsid w:val="005E78E0"/>
    <w:rsid w:val="005F0D9C"/>
    <w:rsid w:val="005F284E"/>
    <w:rsid w:val="005F7D36"/>
    <w:rsid w:val="00601127"/>
    <w:rsid w:val="006015CE"/>
    <w:rsid w:val="00602123"/>
    <w:rsid w:val="00603CF0"/>
    <w:rsid w:val="00604774"/>
    <w:rsid w:val="00604784"/>
    <w:rsid w:val="00606419"/>
    <w:rsid w:val="00607D29"/>
    <w:rsid w:val="006113F2"/>
    <w:rsid w:val="00612952"/>
    <w:rsid w:val="00612C7C"/>
    <w:rsid w:val="0061331A"/>
    <w:rsid w:val="006146D2"/>
    <w:rsid w:val="00614CC1"/>
    <w:rsid w:val="0061505D"/>
    <w:rsid w:val="00615A9D"/>
    <w:rsid w:val="00617251"/>
    <w:rsid w:val="00617387"/>
    <w:rsid w:val="00624C3D"/>
    <w:rsid w:val="006252D8"/>
    <w:rsid w:val="006259BC"/>
    <w:rsid w:val="006260A4"/>
    <w:rsid w:val="0062636B"/>
    <w:rsid w:val="00627E6C"/>
    <w:rsid w:val="006311CC"/>
    <w:rsid w:val="00632182"/>
    <w:rsid w:val="00632AE0"/>
    <w:rsid w:val="00633351"/>
    <w:rsid w:val="00633C17"/>
    <w:rsid w:val="00634D1F"/>
    <w:rsid w:val="00636E3E"/>
    <w:rsid w:val="006379F7"/>
    <w:rsid w:val="00637E4D"/>
    <w:rsid w:val="00640620"/>
    <w:rsid w:val="00641A1F"/>
    <w:rsid w:val="00643576"/>
    <w:rsid w:val="00645251"/>
    <w:rsid w:val="0064528D"/>
    <w:rsid w:val="00645904"/>
    <w:rsid w:val="00651ACB"/>
    <w:rsid w:val="00651C47"/>
    <w:rsid w:val="00652132"/>
    <w:rsid w:val="00652AB2"/>
    <w:rsid w:val="006530E7"/>
    <w:rsid w:val="00654EC0"/>
    <w:rsid w:val="00654FA7"/>
    <w:rsid w:val="0065525B"/>
    <w:rsid w:val="00655D4F"/>
    <w:rsid w:val="00662802"/>
    <w:rsid w:val="006640E5"/>
    <w:rsid w:val="006646F1"/>
    <w:rsid w:val="00664929"/>
    <w:rsid w:val="00664F62"/>
    <w:rsid w:val="006655E1"/>
    <w:rsid w:val="0066799C"/>
    <w:rsid w:val="00672060"/>
    <w:rsid w:val="0067261E"/>
    <w:rsid w:val="00672B65"/>
    <w:rsid w:val="00672BFD"/>
    <w:rsid w:val="00673726"/>
    <w:rsid w:val="006737E8"/>
    <w:rsid w:val="006770F4"/>
    <w:rsid w:val="00677A84"/>
    <w:rsid w:val="0068026D"/>
    <w:rsid w:val="00680A27"/>
    <w:rsid w:val="006816A4"/>
    <w:rsid w:val="006819B8"/>
    <w:rsid w:val="006840A6"/>
    <w:rsid w:val="006850CD"/>
    <w:rsid w:val="00685AAB"/>
    <w:rsid w:val="0068635A"/>
    <w:rsid w:val="006A07AA"/>
    <w:rsid w:val="006A25E5"/>
    <w:rsid w:val="006A2B46"/>
    <w:rsid w:val="006A336D"/>
    <w:rsid w:val="006A37B9"/>
    <w:rsid w:val="006A7E15"/>
    <w:rsid w:val="006B059D"/>
    <w:rsid w:val="006B0CED"/>
    <w:rsid w:val="006B2672"/>
    <w:rsid w:val="006B43CF"/>
    <w:rsid w:val="006B54BF"/>
    <w:rsid w:val="006B5F44"/>
    <w:rsid w:val="006B5F90"/>
    <w:rsid w:val="006B62E4"/>
    <w:rsid w:val="006B649A"/>
    <w:rsid w:val="006B7562"/>
    <w:rsid w:val="006C024C"/>
    <w:rsid w:val="006C1633"/>
    <w:rsid w:val="006C1BBA"/>
    <w:rsid w:val="006C2079"/>
    <w:rsid w:val="006C26B5"/>
    <w:rsid w:val="006C5A62"/>
    <w:rsid w:val="006C5D68"/>
    <w:rsid w:val="006C6976"/>
    <w:rsid w:val="006C6DD0"/>
    <w:rsid w:val="006D04EA"/>
    <w:rsid w:val="006D07FA"/>
    <w:rsid w:val="006D16C4"/>
    <w:rsid w:val="006D3ADE"/>
    <w:rsid w:val="006D3E96"/>
    <w:rsid w:val="006D4515"/>
    <w:rsid w:val="006D4BB1"/>
    <w:rsid w:val="006D584D"/>
    <w:rsid w:val="006D6593"/>
    <w:rsid w:val="006D7BF4"/>
    <w:rsid w:val="006E132F"/>
    <w:rsid w:val="006E1E11"/>
    <w:rsid w:val="006E3543"/>
    <w:rsid w:val="006E7205"/>
    <w:rsid w:val="006F03A8"/>
    <w:rsid w:val="006F126C"/>
    <w:rsid w:val="006F2ACA"/>
    <w:rsid w:val="006F2ADC"/>
    <w:rsid w:val="006F2BFE"/>
    <w:rsid w:val="006F31E9"/>
    <w:rsid w:val="006F56E5"/>
    <w:rsid w:val="006F6284"/>
    <w:rsid w:val="006F7F28"/>
    <w:rsid w:val="007002C5"/>
    <w:rsid w:val="0070069B"/>
    <w:rsid w:val="0070348B"/>
    <w:rsid w:val="00704387"/>
    <w:rsid w:val="00706E58"/>
    <w:rsid w:val="00707669"/>
    <w:rsid w:val="00707A2D"/>
    <w:rsid w:val="00711CBA"/>
    <w:rsid w:val="00711FB5"/>
    <w:rsid w:val="00712A01"/>
    <w:rsid w:val="007148EF"/>
    <w:rsid w:val="00714F58"/>
    <w:rsid w:val="00715845"/>
    <w:rsid w:val="007220B4"/>
    <w:rsid w:val="00722FBF"/>
    <w:rsid w:val="00722FC2"/>
    <w:rsid w:val="00723D0B"/>
    <w:rsid w:val="00725949"/>
    <w:rsid w:val="00727FA2"/>
    <w:rsid w:val="007322D9"/>
    <w:rsid w:val="00732BC0"/>
    <w:rsid w:val="00734564"/>
    <w:rsid w:val="0073720F"/>
    <w:rsid w:val="00737796"/>
    <w:rsid w:val="0074165C"/>
    <w:rsid w:val="00742C35"/>
    <w:rsid w:val="007432CA"/>
    <w:rsid w:val="007439EB"/>
    <w:rsid w:val="00743CB4"/>
    <w:rsid w:val="00743F0A"/>
    <w:rsid w:val="007444E8"/>
    <w:rsid w:val="0074548E"/>
    <w:rsid w:val="00745773"/>
    <w:rsid w:val="00746800"/>
    <w:rsid w:val="00746B49"/>
    <w:rsid w:val="00746DE9"/>
    <w:rsid w:val="007501A8"/>
    <w:rsid w:val="00750EE1"/>
    <w:rsid w:val="007522FC"/>
    <w:rsid w:val="00752B4D"/>
    <w:rsid w:val="007547E8"/>
    <w:rsid w:val="00755402"/>
    <w:rsid w:val="00756B26"/>
    <w:rsid w:val="00756EDF"/>
    <w:rsid w:val="007573C0"/>
    <w:rsid w:val="0076193C"/>
    <w:rsid w:val="00762EED"/>
    <w:rsid w:val="00763661"/>
    <w:rsid w:val="0076384A"/>
    <w:rsid w:val="00765C43"/>
    <w:rsid w:val="00765EFB"/>
    <w:rsid w:val="00766CC1"/>
    <w:rsid w:val="007671CA"/>
    <w:rsid w:val="0076744F"/>
    <w:rsid w:val="007678AC"/>
    <w:rsid w:val="00767C61"/>
    <w:rsid w:val="0077008A"/>
    <w:rsid w:val="00773C1F"/>
    <w:rsid w:val="00774DA4"/>
    <w:rsid w:val="00776599"/>
    <w:rsid w:val="0078114B"/>
    <w:rsid w:val="00781DD2"/>
    <w:rsid w:val="007838BC"/>
    <w:rsid w:val="00783BB4"/>
    <w:rsid w:val="00783ECF"/>
    <w:rsid w:val="0078413A"/>
    <w:rsid w:val="0079026D"/>
    <w:rsid w:val="00790B2C"/>
    <w:rsid w:val="00792585"/>
    <w:rsid w:val="007959E8"/>
    <w:rsid w:val="00795E9C"/>
    <w:rsid w:val="00797629"/>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0A31"/>
    <w:rsid w:val="007C1FF5"/>
    <w:rsid w:val="007C2D89"/>
    <w:rsid w:val="007C39C4"/>
    <w:rsid w:val="007C4593"/>
    <w:rsid w:val="007C5309"/>
    <w:rsid w:val="007C6069"/>
    <w:rsid w:val="007C6440"/>
    <w:rsid w:val="007D06C4"/>
    <w:rsid w:val="007D1352"/>
    <w:rsid w:val="007D20DD"/>
    <w:rsid w:val="007D2508"/>
    <w:rsid w:val="007D2AD3"/>
    <w:rsid w:val="007D346A"/>
    <w:rsid w:val="007D3934"/>
    <w:rsid w:val="007D6518"/>
    <w:rsid w:val="007D76BD"/>
    <w:rsid w:val="007D7902"/>
    <w:rsid w:val="007D7AF4"/>
    <w:rsid w:val="007E0BF1"/>
    <w:rsid w:val="007E4867"/>
    <w:rsid w:val="007E4FDF"/>
    <w:rsid w:val="007E5CC9"/>
    <w:rsid w:val="007F0ED8"/>
    <w:rsid w:val="007F0F63"/>
    <w:rsid w:val="007F3BCF"/>
    <w:rsid w:val="007F487A"/>
    <w:rsid w:val="007F5639"/>
    <w:rsid w:val="007F5967"/>
    <w:rsid w:val="007F75CE"/>
    <w:rsid w:val="008013A4"/>
    <w:rsid w:val="008027CE"/>
    <w:rsid w:val="00802F42"/>
    <w:rsid w:val="00804383"/>
    <w:rsid w:val="00804BB7"/>
    <w:rsid w:val="00804E67"/>
    <w:rsid w:val="00810257"/>
    <w:rsid w:val="008104F5"/>
    <w:rsid w:val="00811072"/>
    <w:rsid w:val="00811369"/>
    <w:rsid w:val="00811A34"/>
    <w:rsid w:val="00815419"/>
    <w:rsid w:val="008163C8"/>
    <w:rsid w:val="008164A1"/>
    <w:rsid w:val="00817325"/>
    <w:rsid w:val="008207F0"/>
    <w:rsid w:val="008209E6"/>
    <w:rsid w:val="00823303"/>
    <w:rsid w:val="008233B2"/>
    <w:rsid w:val="00823A9F"/>
    <w:rsid w:val="00823C85"/>
    <w:rsid w:val="00825138"/>
    <w:rsid w:val="008269DD"/>
    <w:rsid w:val="00830546"/>
    <w:rsid w:val="00830621"/>
    <w:rsid w:val="00832E75"/>
    <w:rsid w:val="0083348C"/>
    <w:rsid w:val="008359D9"/>
    <w:rsid w:val="008373D3"/>
    <w:rsid w:val="00840617"/>
    <w:rsid w:val="00841167"/>
    <w:rsid w:val="00842A47"/>
    <w:rsid w:val="00843C13"/>
    <w:rsid w:val="008454F8"/>
    <w:rsid w:val="00847D2C"/>
    <w:rsid w:val="0085173A"/>
    <w:rsid w:val="00852265"/>
    <w:rsid w:val="00854343"/>
    <w:rsid w:val="008603CE"/>
    <w:rsid w:val="008620FC"/>
    <w:rsid w:val="008627A5"/>
    <w:rsid w:val="00863E05"/>
    <w:rsid w:val="00865ACA"/>
    <w:rsid w:val="00865D28"/>
    <w:rsid w:val="00865F85"/>
    <w:rsid w:val="00867C10"/>
    <w:rsid w:val="00870439"/>
    <w:rsid w:val="00870DA1"/>
    <w:rsid w:val="00874C2B"/>
    <w:rsid w:val="008806A5"/>
    <w:rsid w:val="00882170"/>
    <w:rsid w:val="00882ECF"/>
    <w:rsid w:val="00883480"/>
    <w:rsid w:val="00883F93"/>
    <w:rsid w:val="00884DB3"/>
    <w:rsid w:val="00885A9D"/>
    <w:rsid w:val="008860A1"/>
    <w:rsid w:val="008864F6"/>
    <w:rsid w:val="00887268"/>
    <w:rsid w:val="0089049D"/>
    <w:rsid w:val="00890E83"/>
    <w:rsid w:val="008915AC"/>
    <w:rsid w:val="008928C9"/>
    <w:rsid w:val="0089367F"/>
    <w:rsid w:val="008938DC"/>
    <w:rsid w:val="00893FD1"/>
    <w:rsid w:val="00894836"/>
    <w:rsid w:val="00895172"/>
    <w:rsid w:val="00895680"/>
    <w:rsid w:val="00896DFF"/>
    <w:rsid w:val="0089762C"/>
    <w:rsid w:val="008A1893"/>
    <w:rsid w:val="008A5A12"/>
    <w:rsid w:val="008A769A"/>
    <w:rsid w:val="008B0C9C"/>
    <w:rsid w:val="008B1549"/>
    <w:rsid w:val="008B166D"/>
    <w:rsid w:val="008B17F4"/>
    <w:rsid w:val="008B3615"/>
    <w:rsid w:val="008B3878"/>
    <w:rsid w:val="008B4AC4"/>
    <w:rsid w:val="008B50C8"/>
    <w:rsid w:val="008B5281"/>
    <w:rsid w:val="008B5E60"/>
    <w:rsid w:val="008B75D9"/>
    <w:rsid w:val="008B7E05"/>
    <w:rsid w:val="008C04ED"/>
    <w:rsid w:val="008C1797"/>
    <w:rsid w:val="008C219C"/>
    <w:rsid w:val="008C3F1D"/>
    <w:rsid w:val="008C475E"/>
    <w:rsid w:val="008C619A"/>
    <w:rsid w:val="008C76DE"/>
    <w:rsid w:val="008D0CE8"/>
    <w:rsid w:val="008D2D1D"/>
    <w:rsid w:val="008D3A9B"/>
    <w:rsid w:val="008D3E97"/>
    <w:rsid w:val="008D453D"/>
    <w:rsid w:val="008D4EEB"/>
    <w:rsid w:val="008D53AD"/>
    <w:rsid w:val="008D562B"/>
    <w:rsid w:val="008D5733"/>
    <w:rsid w:val="008D622B"/>
    <w:rsid w:val="008D666C"/>
    <w:rsid w:val="008D6C80"/>
    <w:rsid w:val="008D7B54"/>
    <w:rsid w:val="008E0C9D"/>
    <w:rsid w:val="008E1648"/>
    <w:rsid w:val="008E1B3E"/>
    <w:rsid w:val="008E2319"/>
    <w:rsid w:val="008E4BB6"/>
    <w:rsid w:val="008E5518"/>
    <w:rsid w:val="008E6A84"/>
    <w:rsid w:val="008F0CDC"/>
    <w:rsid w:val="008F128C"/>
    <w:rsid w:val="008F17A3"/>
    <w:rsid w:val="008F1ED3"/>
    <w:rsid w:val="008F3538"/>
    <w:rsid w:val="008F402C"/>
    <w:rsid w:val="008F4C29"/>
    <w:rsid w:val="008F6DCE"/>
    <w:rsid w:val="008F6EB2"/>
    <w:rsid w:val="008F70BD"/>
    <w:rsid w:val="008F72C3"/>
    <w:rsid w:val="008F788F"/>
    <w:rsid w:val="008F7EA2"/>
    <w:rsid w:val="008F7FE5"/>
    <w:rsid w:val="00900F69"/>
    <w:rsid w:val="00902722"/>
    <w:rsid w:val="009027BC"/>
    <w:rsid w:val="00903279"/>
    <w:rsid w:val="00903F91"/>
    <w:rsid w:val="009062E6"/>
    <w:rsid w:val="00910C94"/>
    <w:rsid w:val="00911BE5"/>
    <w:rsid w:val="009136B3"/>
    <w:rsid w:val="00913CA9"/>
    <w:rsid w:val="009145AE"/>
    <w:rsid w:val="009146CE"/>
    <w:rsid w:val="00914CA7"/>
    <w:rsid w:val="00915C3E"/>
    <w:rsid w:val="009160BC"/>
    <w:rsid w:val="009161A8"/>
    <w:rsid w:val="00917354"/>
    <w:rsid w:val="00917373"/>
    <w:rsid w:val="009206FC"/>
    <w:rsid w:val="00922F0D"/>
    <w:rsid w:val="009245F5"/>
    <w:rsid w:val="009249EC"/>
    <w:rsid w:val="00926275"/>
    <w:rsid w:val="009273B3"/>
    <w:rsid w:val="009305B5"/>
    <w:rsid w:val="00932F2D"/>
    <w:rsid w:val="00935974"/>
    <w:rsid w:val="00936F22"/>
    <w:rsid w:val="009429D5"/>
    <w:rsid w:val="00942BF1"/>
    <w:rsid w:val="00945180"/>
    <w:rsid w:val="00945428"/>
    <w:rsid w:val="0094607B"/>
    <w:rsid w:val="00950220"/>
    <w:rsid w:val="00951470"/>
    <w:rsid w:val="00953604"/>
    <w:rsid w:val="0095496B"/>
    <w:rsid w:val="00957187"/>
    <w:rsid w:val="00957902"/>
    <w:rsid w:val="009610DC"/>
    <w:rsid w:val="00961490"/>
    <w:rsid w:val="009621DF"/>
    <w:rsid w:val="0096381A"/>
    <w:rsid w:val="00965E04"/>
    <w:rsid w:val="009674AD"/>
    <w:rsid w:val="00970CDC"/>
    <w:rsid w:val="00972B68"/>
    <w:rsid w:val="009732DC"/>
    <w:rsid w:val="00974268"/>
    <w:rsid w:val="00977010"/>
    <w:rsid w:val="00977D02"/>
    <w:rsid w:val="009808D3"/>
    <w:rsid w:val="009809BB"/>
    <w:rsid w:val="00982FDD"/>
    <w:rsid w:val="0098364B"/>
    <w:rsid w:val="00985AE0"/>
    <w:rsid w:val="00987877"/>
    <w:rsid w:val="00990B64"/>
    <w:rsid w:val="009911AF"/>
    <w:rsid w:val="00991875"/>
    <w:rsid w:val="00991F92"/>
    <w:rsid w:val="00992985"/>
    <w:rsid w:val="00993889"/>
    <w:rsid w:val="0099551B"/>
    <w:rsid w:val="009971DA"/>
    <w:rsid w:val="00997BF1"/>
    <w:rsid w:val="009A089C"/>
    <w:rsid w:val="009A118E"/>
    <w:rsid w:val="009A21CD"/>
    <w:rsid w:val="009A278C"/>
    <w:rsid w:val="009A2BC2"/>
    <w:rsid w:val="009A42C1"/>
    <w:rsid w:val="009A5429"/>
    <w:rsid w:val="009A72AD"/>
    <w:rsid w:val="009B09E0"/>
    <w:rsid w:val="009B0BC5"/>
    <w:rsid w:val="009B1247"/>
    <w:rsid w:val="009B2A7B"/>
    <w:rsid w:val="009B6029"/>
    <w:rsid w:val="009B6971"/>
    <w:rsid w:val="009B7E47"/>
    <w:rsid w:val="009C0DFE"/>
    <w:rsid w:val="009C27F1"/>
    <w:rsid w:val="009C2EB1"/>
    <w:rsid w:val="009C3152"/>
    <w:rsid w:val="009C4CFA"/>
    <w:rsid w:val="009C5070"/>
    <w:rsid w:val="009D0570"/>
    <w:rsid w:val="009D0953"/>
    <w:rsid w:val="009D112C"/>
    <w:rsid w:val="009D173D"/>
    <w:rsid w:val="009D2012"/>
    <w:rsid w:val="009D47FA"/>
    <w:rsid w:val="009D50D2"/>
    <w:rsid w:val="009D6BCA"/>
    <w:rsid w:val="009D72B9"/>
    <w:rsid w:val="009D774B"/>
    <w:rsid w:val="009E0F62"/>
    <w:rsid w:val="009E1848"/>
    <w:rsid w:val="009E3710"/>
    <w:rsid w:val="009E3C49"/>
    <w:rsid w:val="009E4A58"/>
    <w:rsid w:val="009E5233"/>
    <w:rsid w:val="009E5A2D"/>
    <w:rsid w:val="009E5AB2"/>
    <w:rsid w:val="009E6219"/>
    <w:rsid w:val="009F03B3"/>
    <w:rsid w:val="009F045B"/>
    <w:rsid w:val="009F5FC3"/>
    <w:rsid w:val="00A0083F"/>
    <w:rsid w:val="00A01757"/>
    <w:rsid w:val="00A02269"/>
    <w:rsid w:val="00A028C0"/>
    <w:rsid w:val="00A02BAE"/>
    <w:rsid w:val="00A036E5"/>
    <w:rsid w:val="00A05AA6"/>
    <w:rsid w:val="00A06A6B"/>
    <w:rsid w:val="00A07E47"/>
    <w:rsid w:val="00A129D0"/>
    <w:rsid w:val="00A12C33"/>
    <w:rsid w:val="00A138BA"/>
    <w:rsid w:val="00A14C8E"/>
    <w:rsid w:val="00A153D9"/>
    <w:rsid w:val="00A15F09"/>
    <w:rsid w:val="00A169B6"/>
    <w:rsid w:val="00A2271D"/>
    <w:rsid w:val="00A237D5"/>
    <w:rsid w:val="00A30262"/>
    <w:rsid w:val="00A30EFC"/>
    <w:rsid w:val="00A31984"/>
    <w:rsid w:val="00A32862"/>
    <w:rsid w:val="00A32D73"/>
    <w:rsid w:val="00A3367B"/>
    <w:rsid w:val="00A3597D"/>
    <w:rsid w:val="00A36539"/>
    <w:rsid w:val="00A4001E"/>
    <w:rsid w:val="00A4006C"/>
    <w:rsid w:val="00A40091"/>
    <w:rsid w:val="00A401A2"/>
    <w:rsid w:val="00A4030F"/>
    <w:rsid w:val="00A4169B"/>
    <w:rsid w:val="00A41C79"/>
    <w:rsid w:val="00A41CB5"/>
    <w:rsid w:val="00A41FFD"/>
    <w:rsid w:val="00A42CDF"/>
    <w:rsid w:val="00A4452E"/>
    <w:rsid w:val="00A4472C"/>
    <w:rsid w:val="00A44E69"/>
    <w:rsid w:val="00A4661E"/>
    <w:rsid w:val="00A506DC"/>
    <w:rsid w:val="00A53ECE"/>
    <w:rsid w:val="00A55BD6"/>
    <w:rsid w:val="00A55D50"/>
    <w:rsid w:val="00A57142"/>
    <w:rsid w:val="00A62FC3"/>
    <w:rsid w:val="00A648CD"/>
    <w:rsid w:val="00A6537A"/>
    <w:rsid w:val="00A67866"/>
    <w:rsid w:val="00A70B07"/>
    <w:rsid w:val="00A723F8"/>
    <w:rsid w:val="00A72EB0"/>
    <w:rsid w:val="00A77CCB"/>
    <w:rsid w:val="00A80948"/>
    <w:rsid w:val="00A83D8D"/>
    <w:rsid w:val="00A8446B"/>
    <w:rsid w:val="00A8473F"/>
    <w:rsid w:val="00A84770"/>
    <w:rsid w:val="00A862D6"/>
    <w:rsid w:val="00A8715E"/>
    <w:rsid w:val="00A87647"/>
    <w:rsid w:val="00A9295B"/>
    <w:rsid w:val="00A929AD"/>
    <w:rsid w:val="00A93B09"/>
    <w:rsid w:val="00A952D7"/>
    <w:rsid w:val="00A963F7"/>
    <w:rsid w:val="00A96AD8"/>
    <w:rsid w:val="00AA052C"/>
    <w:rsid w:val="00AA052D"/>
    <w:rsid w:val="00AA1AD9"/>
    <w:rsid w:val="00AA1E45"/>
    <w:rsid w:val="00AA2224"/>
    <w:rsid w:val="00AA4286"/>
    <w:rsid w:val="00AA456B"/>
    <w:rsid w:val="00AA57F5"/>
    <w:rsid w:val="00AA672E"/>
    <w:rsid w:val="00AA6C57"/>
    <w:rsid w:val="00AA6EC9"/>
    <w:rsid w:val="00AB380F"/>
    <w:rsid w:val="00AB6309"/>
    <w:rsid w:val="00AB6C5F"/>
    <w:rsid w:val="00AB7129"/>
    <w:rsid w:val="00AB74AC"/>
    <w:rsid w:val="00AC27A6"/>
    <w:rsid w:val="00AC2E14"/>
    <w:rsid w:val="00AC30F7"/>
    <w:rsid w:val="00AC3A5A"/>
    <w:rsid w:val="00AC4D95"/>
    <w:rsid w:val="00AC5DF4"/>
    <w:rsid w:val="00AD0AEF"/>
    <w:rsid w:val="00AD11B7"/>
    <w:rsid w:val="00AD1A94"/>
    <w:rsid w:val="00AD1C05"/>
    <w:rsid w:val="00AD3E3E"/>
    <w:rsid w:val="00AD4126"/>
    <w:rsid w:val="00AD421C"/>
    <w:rsid w:val="00AD422F"/>
    <w:rsid w:val="00AD44FA"/>
    <w:rsid w:val="00AD5D89"/>
    <w:rsid w:val="00AD6338"/>
    <w:rsid w:val="00AE070A"/>
    <w:rsid w:val="00AE101C"/>
    <w:rsid w:val="00AE3C2F"/>
    <w:rsid w:val="00AE5EB4"/>
    <w:rsid w:val="00AE6594"/>
    <w:rsid w:val="00AF070F"/>
    <w:rsid w:val="00AF0871"/>
    <w:rsid w:val="00AF0C18"/>
    <w:rsid w:val="00AF44AC"/>
    <w:rsid w:val="00AF47C5"/>
    <w:rsid w:val="00AF5398"/>
    <w:rsid w:val="00B01288"/>
    <w:rsid w:val="00B049AF"/>
    <w:rsid w:val="00B07242"/>
    <w:rsid w:val="00B10534"/>
    <w:rsid w:val="00B113DB"/>
    <w:rsid w:val="00B11CDB"/>
    <w:rsid w:val="00B11D8A"/>
    <w:rsid w:val="00B1202C"/>
    <w:rsid w:val="00B12981"/>
    <w:rsid w:val="00B12A81"/>
    <w:rsid w:val="00B147DD"/>
    <w:rsid w:val="00B14823"/>
    <w:rsid w:val="00B14CDD"/>
    <w:rsid w:val="00B156FD"/>
    <w:rsid w:val="00B21F61"/>
    <w:rsid w:val="00B24493"/>
    <w:rsid w:val="00B24E3B"/>
    <w:rsid w:val="00B261F1"/>
    <w:rsid w:val="00B26528"/>
    <w:rsid w:val="00B265BC"/>
    <w:rsid w:val="00B26B3F"/>
    <w:rsid w:val="00B31BA2"/>
    <w:rsid w:val="00B31FB1"/>
    <w:rsid w:val="00B33952"/>
    <w:rsid w:val="00B33C5E"/>
    <w:rsid w:val="00B342F4"/>
    <w:rsid w:val="00B34369"/>
    <w:rsid w:val="00B34DC2"/>
    <w:rsid w:val="00B378E5"/>
    <w:rsid w:val="00B4346D"/>
    <w:rsid w:val="00B440F4"/>
    <w:rsid w:val="00B447A5"/>
    <w:rsid w:val="00B45AF7"/>
    <w:rsid w:val="00B4654C"/>
    <w:rsid w:val="00B47293"/>
    <w:rsid w:val="00B50E50"/>
    <w:rsid w:val="00B52120"/>
    <w:rsid w:val="00B529C8"/>
    <w:rsid w:val="00B54463"/>
    <w:rsid w:val="00B54ABC"/>
    <w:rsid w:val="00B55A84"/>
    <w:rsid w:val="00B56FBE"/>
    <w:rsid w:val="00B57383"/>
    <w:rsid w:val="00B62B58"/>
    <w:rsid w:val="00B64424"/>
    <w:rsid w:val="00B65149"/>
    <w:rsid w:val="00B656C2"/>
    <w:rsid w:val="00B66567"/>
    <w:rsid w:val="00B665C4"/>
    <w:rsid w:val="00B66F52"/>
    <w:rsid w:val="00B66FE5"/>
    <w:rsid w:val="00B7217D"/>
    <w:rsid w:val="00B726D3"/>
    <w:rsid w:val="00B72880"/>
    <w:rsid w:val="00B758BF"/>
    <w:rsid w:val="00B826BF"/>
    <w:rsid w:val="00B827A6"/>
    <w:rsid w:val="00B831CE"/>
    <w:rsid w:val="00B86677"/>
    <w:rsid w:val="00B87131"/>
    <w:rsid w:val="00B9150C"/>
    <w:rsid w:val="00B939B1"/>
    <w:rsid w:val="00B94241"/>
    <w:rsid w:val="00B944E8"/>
    <w:rsid w:val="00B9539C"/>
    <w:rsid w:val="00B96D40"/>
    <w:rsid w:val="00B97386"/>
    <w:rsid w:val="00B978DB"/>
    <w:rsid w:val="00BA1865"/>
    <w:rsid w:val="00BA263B"/>
    <w:rsid w:val="00BA42B2"/>
    <w:rsid w:val="00BA58D4"/>
    <w:rsid w:val="00BA5B9E"/>
    <w:rsid w:val="00BA7C9A"/>
    <w:rsid w:val="00BB11CB"/>
    <w:rsid w:val="00BB2674"/>
    <w:rsid w:val="00BB5F8F"/>
    <w:rsid w:val="00BB657A"/>
    <w:rsid w:val="00BC1A4E"/>
    <w:rsid w:val="00BC4861"/>
    <w:rsid w:val="00BC5DC7"/>
    <w:rsid w:val="00BC6B8B"/>
    <w:rsid w:val="00BC73D8"/>
    <w:rsid w:val="00BD52D7"/>
    <w:rsid w:val="00BD5AD2"/>
    <w:rsid w:val="00BD7BFA"/>
    <w:rsid w:val="00BE22F3"/>
    <w:rsid w:val="00BE5B52"/>
    <w:rsid w:val="00BE6780"/>
    <w:rsid w:val="00BE7B8D"/>
    <w:rsid w:val="00BF0993"/>
    <w:rsid w:val="00BF10A9"/>
    <w:rsid w:val="00BF1703"/>
    <w:rsid w:val="00BF231C"/>
    <w:rsid w:val="00BF2E47"/>
    <w:rsid w:val="00BF2EB9"/>
    <w:rsid w:val="00BF3338"/>
    <w:rsid w:val="00BF51E5"/>
    <w:rsid w:val="00BF55DD"/>
    <w:rsid w:val="00BF5BC5"/>
    <w:rsid w:val="00BF74A6"/>
    <w:rsid w:val="00C006E0"/>
    <w:rsid w:val="00C013AD"/>
    <w:rsid w:val="00C020FB"/>
    <w:rsid w:val="00C04904"/>
    <w:rsid w:val="00C056B3"/>
    <w:rsid w:val="00C074A1"/>
    <w:rsid w:val="00C103E5"/>
    <w:rsid w:val="00C13319"/>
    <w:rsid w:val="00C13EE9"/>
    <w:rsid w:val="00C13EEC"/>
    <w:rsid w:val="00C17C4C"/>
    <w:rsid w:val="00C20200"/>
    <w:rsid w:val="00C21540"/>
    <w:rsid w:val="00C2173A"/>
    <w:rsid w:val="00C21906"/>
    <w:rsid w:val="00C21BFA"/>
    <w:rsid w:val="00C23FA0"/>
    <w:rsid w:val="00C24C8D"/>
    <w:rsid w:val="00C25FE2"/>
    <w:rsid w:val="00C26B53"/>
    <w:rsid w:val="00C279B2"/>
    <w:rsid w:val="00C30617"/>
    <w:rsid w:val="00C327AB"/>
    <w:rsid w:val="00C33042"/>
    <w:rsid w:val="00C33D90"/>
    <w:rsid w:val="00C33E50"/>
    <w:rsid w:val="00C34219"/>
    <w:rsid w:val="00C34C20"/>
    <w:rsid w:val="00C34D84"/>
    <w:rsid w:val="00C35A3E"/>
    <w:rsid w:val="00C410BD"/>
    <w:rsid w:val="00C42130"/>
    <w:rsid w:val="00C423A4"/>
    <w:rsid w:val="00C444C2"/>
    <w:rsid w:val="00C44BF5"/>
    <w:rsid w:val="00C521D6"/>
    <w:rsid w:val="00C534EC"/>
    <w:rsid w:val="00C538BB"/>
    <w:rsid w:val="00C55232"/>
    <w:rsid w:val="00C553A4"/>
    <w:rsid w:val="00C55657"/>
    <w:rsid w:val="00C55A06"/>
    <w:rsid w:val="00C55D03"/>
    <w:rsid w:val="00C5671C"/>
    <w:rsid w:val="00C57454"/>
    <w:rsid w:val="00C601BC"/>
    <w:rsid w:val="00C6168C"/>
    <w:rsid w:val="00C6329F"/>
    <w:rsid w:val="00C63340"/>
    <w:rsid w:val="00C634CF"/>
    <w:rsid w:val="00C643F9"/>
    <w:rsid w:val="00C64E95"/>
    <w:rsid w:val="00C71372"/>
    <w:rsid w:val="00C72410"/>
    <w:rsid w:val="00C7287F"/>
    <w:rsid w:val="00C80CB8"/>
    <w:rsid w:val="00C819F8"/>
    <w:rsid w:val="00C8248C"/>
    <w:rsid w:val="00C8260F"/>
    <w:rsid w:val="00C84E33"/>
    <w:rsid w:val="00C850B6"/>
    <w:rsid w:val="00C86D6F"/>
    <w:rsid w:val="00C9028F"/>
    <w:rsid w:val="00C905FC"/>
    <w:rsid w:val="00C90E0A"/>
    <w:rsid w:val="00C92D03"/>
    <w:rsid w:val="00C9319C"/>
    <w:rsid w:val="00C9435D"/>
    <w:rsid w:val="00C94872"/>
    <w:rsid w:val="00C95ED6"/>
    <w:rsid w:val="00C96741"/>
    <w:rsid w:val="00C9739C"/>
    <w:rsid w:val="00CA2D1B"/>
    <w:rsid w:val="00CA333D"/>
    <w:rsid w:val="00CA5ED0"/>
    <w:rsid w:val="00CA662A"/>
    <w:rsid w:val="00CA7AFD"/>
    <w:rsid w:val="00CA7C3C"/>
    <w:rsid w:val="00CB0189"/>
    <w:rsid w:val="00CB0BA2"/>
    <w:rsid w:val="00CB1A42"/>
    <w:rsid w:val="00CB1B0C"/>
    <w:rsid w:val="00CB2104"/>
    <w:rsid w:val="00CB2C0B"/>
    <w:rsid w:val="00CB517D"/>
    <w:rsid w:val="00CB6643"/>
    <w:rsid w:val="00CB6CF1"/>
    <w:rsid w:val="00CC038D"/>
    <w:rsid w:val="00CC0E75"/>
    <w:rsid w:val="00CC27FE"/>
    <w:rsid w:val="00CC2B64"/>
    <w:rsid w:val="00CC39FF"/>
    <w:rsid w:val="00CC3C2F"/>
    <w:rsid w:val="00CC4AC8"/>
    <w:rsid w:val="00CC5233"/>
    <w:rsid w:val="00CC5BA5"/>
    <w:rsid w:val="00CC5DE6"/>
    <w:rsid w:val="00CC6E4E"/>
    <w:rsid w:val="00CC6FE8"/>
    <w:rsid w:val="00CC7202"/>
    <w:rsid w:val="00CD2808"/>
    <w:rsid w:val="00CD28BF"/>
    <w:rsid w:val="00CD4092"/>
    <w:rsid w:val="00CD41B9"/>
    <w:rsid w:val="00CD4A20"/>
    <w:rsid w:val="00CD50A1"/>
    <w:rsid w:val="00CD519E"/>
    <w:rsid w:val="00CD5D25"/>
    <w:rsid w:val="00CD6E7F"/>
    <w:rsid w:val="00CE02EB"/>
    <w:rsid w:val="00CE0C4F"/>
    <w:rsid w:val="00CE15A8"/>
    <w:rsid w:val="00CE30EA"/>
    <w:rsid w:val="00CE593F"/>
    <w:rsid w:val="00CE620E"/>
    <w:rsid w:val="00CF048A"/>
    <w:rsid w:val="00CF155A"/>
    <w:rsid w:val="00CF2947"/>
    <w:rsid w:val="00CF4E76"/>
    <w:rsid w:val="00CF686F"/>
    <w:rsid w:val="00CF6D84"/>
    <w:rsid w:val="00CF6E60"/>
    <w:rsid w:val="00CF7BCA"/>
    <w:rsid w:val="00D008FD"/>
    <w:rsid w:val="00D01D67"/>
    <w:rsid w:val="00D01DF9"/>
    <w:rsid w:val="00D01F99"/>
    <w:rsid w:val="00D0321C"/>
    <w:rsid w:val="00D035EC"/>
    <w:rsid w:val="00D04B28"/>
    <w:rsid w:val="00D04EDE"/>
    <w:rsid w:val="00D06AB1"/>
    <w:rsid w:val="00D072ED"/>
    <w:rsid w:val="00D07A16"/>
    <w:rsid w:val="00D1067E"/>
    <w:rsid w:val="00D1072F"/>
    <w:rsid w:val="00D10F50"/>
    <w:rsid w:val="00D11272"/>
    <w:rsid w:val="00D126F5"/>
    <w:rsid w:val="00D1489E"/>
    <w:rsid w:val="00D20737"/>
    <w:rsid w:val="00D20C67"/>
    <w:rsid w:val="00D21E81"/>
    <w:rsid w:val="00D223DE"/>
    <w:rsid w:val="00D25E37"/>
    <w:rsid w:val="00D2661A"/>
    <w:rsid w:val="00D27582"/>
    <w:rsid w:val="00D2771E"/>
    <w:rsid w:val="00D32719"/>
    <w:rsid w:val="00D33333"/>
    <w:rsid w:val="00D34862"/>
    <w:rsid w:val="00D34CB7"/>
    <w:rsid w:val="00D352A2"/>
    <w:rsid w:val="00D4162B"/>
    <w:rsid w:val="00D4190D"/>
    <w:rsid w:val="00D4414C"/>
    <w:rsid w:val="00D4514F"/>
    <w:rsid w:val="00D451E2"/>
    <w:rsid w:val="00D45E89"/>
    <w:rsid w:val="00D45E8D"/>
    <w:rsid w:val="00D466AE"/>
    <w:rsid w:val="00D4734F"/>
    <w:rsid w:val="00D47EB6"/>
    <w:rsid w:val="00D51BF3"/>
    <w:rsid w:val="00D53FD8"/>
    <w:rsid w:val="00D54B98"/>
    <w:rsid w:val="00D552C6"/>
    <w:rsid w:val="00D57E54"/>
    <w:rsid w:val="00D6356C"/>
    <w:rsid w:val="00D66846"/>
    <w:rsid w:val="00D675FB"/>
    <w:rsid w:val="00D7138C"/>
    <w:rsid w:val="00D7165F"/>
    <w:rsid w:val="00D71805"/>
    <w:rsid w:val="00D71F25"/>
    <w:rsid w:val="00D768EB"/>
    <w:rsid w:val="00D76C96"/>
    <w:rsid w:val="00D76F20"/>
    <w:rsid w:val="00D77031"/>
    <w:rsid w:val="00D81491"/>
    <w:rsid w:val="00D81F0A"/>
    <w:rsid w:val="00D846E6"/>
    <w:rsid w:val="00D84941"/>
    <w:rsid w:val="00D84FA1"/>
    <w:rsid w:val="00D851F0"/>
    <w:rsid w:val="00D86DB7"/>
    <w:rsid w:val="00D9060C"/>
    <w:rsid w:val="00D911ED"/>
    <w:rsid w:val="00D926D0"/>
    <w:rsid w:val="00D93030"/>
    <w:rsid w:val="00D932E6"/>
    <w:rsid w:val="00D94F7A"/>
    <w:rsid w:val="00D950E1"/>
    <w:rsid w:val="00D952A6"/>
    <w:rsid w:val="00D97F99"/>
    <w:rsid w:val="00DA05AA"/>
    <w:rsid w:val="00DA1E08"/>
    <w:rsid w:val="00DA24F8"/>
    <w:rsid w:val="00DA28E8"/>
    <w:rsid w:val="00DA38D3"/>
    <w:rsid w:val="00DA3932"/>
    <w:rsid w:val="00DA3AFC"/>
    <w:rsid w:val="00DA58F2"/>
    <w:rsid w:val="00DA64F8"/>
    <w:rsid w:val="00DA6C15"/>
    <w:rsid w:val="00DB38EE"/>
    <w:rsid w:val="00DB3B9F"/>
    <w:rsid w:val="00DB498B"/>
    <w:rsid w:val="00DB66CA"/>
    <w:rsid w:val="00DB6BCA"/>
    <w:rsid w:val="00DB7113"/>
    <w:rsid w:val="00DC0321"/>
    <w:rsid w:val="00DC06CE"/>
    <w:rsid w:val="00DC27E5"/>
    <w:rsid w:val="00DC3067"/>
    <w:rsid w:val="00DC370B"/>
    <w:rsid w:val="00DC5B90"/>
    <w:rsid w:val="00DC5C8B"/>
    <w:rsid w:val="00DD00FF"/>
    <w:rsid w:val="00DD0619"/>
    <w:rsid w:val="00DD07FB"/>
    <w:rsid w:val="00DD1B04"/>
    <w:rsid w:val="00DD25C6"/>
    <w:rsid w:val="00DD3F84"/>
    <w:rsid w:val="00DD4FE5"/>
    <w:rsid w:val="00DD54B0"/>
    <w:rsid w:val="00DD57EE"/>
    <w:rsid w:val="00DD6BCC"/>
    <w:rsid w:val="00DE0A4B"/>
    <w:rsid w:val="00DE1989"/>
    <w:rsid w:val="00DE23C6"/>
    <w:rsid w:val="00DE2410"/>
    <w:rsid w:val="00DE2939"/>
    <w:rsid w:val="00DE2B76"/>
    <w:rsid w:val="00DE301F"/>
    <w:rsid w:val="00DE65F6"/>
    <w:rsid w:val="00DE6E81"/>
    <w:rsid w:val="00DE7017"/>
    <w:rsid w:val="00DE703F"/>
    <w:rsid w:val="00DE7595"/>
    <w:rsid w:val="00DF04C1"/>
    <w:rsid w:val="00DF0EBA"/>
    <w:rsid w:val="00DF1961"/>
    <w:rsid w:val="00DF44DE"/>
    <w:rsid w:val="00E01138"/>
    <w:rsid w:val="00E02DFB"/>
    <w:rsid w:val="00E030F9"/>
    <w:rsid w:val="00E0311A"/>
    <w:rsid w:val="00E03138"/>
    <w:rsid w:val="00E06404"/>
    <w:rsid w:val="00E11A85"/>
    <w:rsid w:val="00E11EF7"/>
    <w:rsid w:val="00E12495"/>
    <w:rsid w:val="00E15CCD"/>
    <w:rsid w:val="00E15D9E"/>
    <w:rsid w:val="00E174CD"/>
    <w:rsid w:val="00E202EF"/>
    <w:rsid w:val="00E210B5"/>
    <w:rsid w:val="00E2168B"/>
    <w:rsid w:val="00E233A6"/>
    <w:rsid w:val="00E2552F"/>
    <w:rsid w:val="00E3137A"/>
    <w:rsid w:val="00E32213"/>
    <w:rsid w:val="00E32CCF"/>
    <w:rsid w:val="00E34A98"/>
    <w:rsid w:val="00E35D1E"/>
    <w:rsid w:val="00E364F9"/>
    <w:rsid w:val="00E365FA"/>
    <w:rsid w:val="00E36789"/>
    <w:rsid w:val="00E44A83"/>
    <w:rsid w:val="00E463F9"/>
    <w:rsid w:val="00E502C1"/>
    <w:rsid w:val="00E502DD"/>
    <w:rsid w:val="00E50D3A"/>
    <w:rsid w:val="00E51387"/>
    <w:rsid w:val="00E51E68"/>
    <w:rsid w:val="00E52538"/>
    <w:rsid w:val="00E52EFD"/>
    <w:rsid w:val="00E5408A"/>
    <w:rsid w:val="00E5586D"/>
    <w:rsid w:val="00E55FC3"/>
    <w:rsid w:val="00E566B0"/>
    <w:rsid w:val="00E56800"/>
    <w:rsid w:val="00E57E7C"/>
    <w:rsid w:val="00E62FF9"/>
    <w:rsid w:val="00E635D6"/>
    <w:rsid w:val="00E639BC"/>
    <w:rsid w:val="00E64130"/>
    <w:rsid w:val="00E664CC"/>
    <w:rsid w:val="00E672BB"/>
    <w:rsid w:val="00E70388"/>
    <w:rsid w:val="00E70F92"/>
    <w:rsid w:val="00E74C54"/>
    <w:rsid w:val="00E75C1E"/>
    <w:rsid w:val="00E77A03"/>
    <w:rsid w:val="00E822E8"/>
    <w:rsid w:val="00E82554"/>
    <w:rsid w:val="00E82606"/>
    <w:rsid w:val="00E846C8"/>
    <w:rsid w:val="00E84957"/>
    <w:rsid w:val="00E84A55"/>
    <w:rsid w:val="00E85BFF"/>
    <w:rsid w:val="00E90391"/>
    <w:rsid w:val="00E906C2"/>
    <w:rsid w:val="00E910C9"/>
    <w:rsid w:val="00E9311F"/>
    <w:rsid w:val="00E934D1"/>
    <w:rsid w:val="00E94AF0"/>
    <w:rsid w:val="00E95D13"/>
    <w:rsid w:val="00E95DD3"/>
    <w:rsid w:val="00E95E26"/>
    <w:rsid w:val="00E969D5"/>
    <w:rsid w:val="00EA04E1"/>
    <w:rsid w:val="00EA4298"/>
    <w:rsid w:val="00EA4F81"/>
    <w:rsid w:val="00EA58D1"/>
    <w:rsid w:val="00EA61BC"/>
    <w:rsid w:val="00EA681A"/>
    <w:rsid w:val="00EA6DCC"/>
    <w:rsid w:val="00EA735B"/>
    <w:rsid w:val="00EA77BB"/>
    <w:rsid w:val="00EB1E69"/>
    <w:rsid w:val="00EB2086"/>
    <w:rsid w:val="00EB3C1C"/>
    <w:rsid w:val="00EB5EDF"/>
    <w:rsid w:val="00EB60FE"/>
    <w:rsid w:val="00EB715B"/>
    <w:rsid w:val="00EB74DB"/>
    <w:rsid w:val="00EC0DB6"/>
    <w:rsid w:val="00EC5359"/>
    <w:rsid w:val="00EC562A"/>
    <w:rsid w:val="00ED067A"/>
    <w:rsid w:val="00ED12DF"/>
    <w:rsid w:val="00ED1F5D"/>
    <w:rsid w:val="00ED2B50"/>
    <w:rsid w:val="00ED3723"/>
    <w:rsid w:val="00ED7F83"/>
    <w:rsid w:val="00EE0350"/>
    <w:rsid w:val="00EE0719"/>
    <w:rsid w:val="00EE0963"/>
    <w:rsid w:val="00EE0E80"/>
    <w:rsid w:val="00EE2D00"/>
    <w:rsid w:val="00EE613F"/>
    <w:rsid w:val="00EE7295"/>
    <w:rsid w:val="00EE7869"/>
    <w:rsid w:val="00EF054A"/>
    <w:rsid w:val="00EF0F84"/>
    <w:rsid w:val="00EF3235"/>
    <w:rsid w:val="00EF7E72"/>
    <w:rsid w:val="00F044D0"/>
    <w:rsid w:val="00F0680C"/>
    <w:rsid w:val="00F06D37"/>
    <w:rsid w:val="00F07457"/>
    <w:rsid w:val="00F07B9D"/>
    <w:rsid w:val="00F10926"/>
    <w:rsid w:val="00F11586"/>
    <w:rsid w:val="00F1183B"/>
    <w:rsid w:val="00F11C9F"/>
    <w:rsid w:val="00F12263"/>
    <w:rsid w:val="00F1378F"/>
    <w:rsid w:val="00F1409D"/>
    <w:rsid w:val="00F14214"/>
    <w:rsid w:val="00F14F16"/>
    <w:rsid w:val="00F157A9"/>
    <w:rsid w:val="00F17B2A"/>
    <w:rsid w:val="00F20F76"/>
    <w:rsid w:val="00F24166"/>
    <w:rsid w:val="00F2478E"/>
    <w:rsid w:val="00F24FF9"/>
    <w:rsid w:val="00F255CC"/>
    <w:rsid w:val="00F25BB6"/>
    <w:rsid w:val="00F26B7E"/>
    <w:rsid w:val="00F27A3B"/>
    <w:rsid w:val="00F3311D"/>
    <w:rsid w:val="00F33817"/>
    <w:rsid w:val="00F3447F"/>
    <w:rsid w:val="00F420D5"/>
    <w:rsid w:val="00F451EA"/>
    <w:rsid w:val="00F45447"/>
    <w:rsid w:val="00F456C6"/>
    <w:rsid w:val="00F4577B"/>
    <w:rsid w:val="00F45F10"/>
    <w:rsid w:val="00F46496"/>
    <w:rsid w:val="00F47425"/>
    <w:rsid w:val="00F474D0"/>
    <w:rsid w:val="00F50179"/>
    <w:rsid w:val="00F537C7"/>
    <w:rsid w:val="00F53CDE"/>
    <w:rsid w:val="00F5558D"/>
    <w:rsid w:val="00F56511"/>
    <w:rsid w:val="00F6194E"/>
    <w:rsid w:val="00F623AC"/>
    <w:rsid w:val="00F6412A"/>
    <w:rsid w:val="00F65893"/>
    <w:rsid w:val="00F66A4A"/>
    <w:rsid w:val="00F66C9C"/>
    <w:rsid w:val="00F71E22"/>
    <w:rsid w:val="00F72142"/>
    <w:rsid w:val="00F72AE7"/>
    <w:rsid w:val="00F737F1"/>
    <w:rsid w:val="00F80963"/>
    <w:rsid w:val="00F81F39"/>
    <w:rsid w:val="00F833BA"/>
    <w:rsid w:val="00F84FD0"/>
    <w:rsid w:val="00F859A8"/>
    <w:rsid w:val="00F907B5"/>
    <w:rsid w:val="00F9108B"/>
    <w:rsid w:val="00F91349"/>
    <w:rsid w:val="00F9373A"/>
    <w:rsid w:val="00F93A8A"/>
    <w:rsid w:val="00F95248"/>
    <w:rsid w:val="00F956A9"/>
    <w:rsid w:val="00F963ED"/>
    <w:rsid w:val="00F966CF"/>
    <w:rsid w:val="00F96CAE"/>
    <w:rsid w:val="00F97C99"/>
    <w:rsid w:val="00FA35F5"/>
    <w:rsid w:val="00FA491C"/>
    <w:rsid w:val="00FA662D"/>
    <w:rsid w:val="00FA73B1"/>
    <w:rsid w:val="00FB05DA"/>
    <w:rsid w:val="00FB0CB9"/>
    <w:rsid w:val="00FB45F1"/>
    <w:rsid w:val="00FB4A72"/>
    <w:rsid w:val="00FB4C09"/>
    <w:rsid w:val="00FB54E8"/>
    <w:rsid w:val="00FB7054"/>
    <w:rsid w:val="00FC17B7"/>
    <w:rsid w:val="00FC292B"/>
    <w:rsid w:val="00FC2CB7"/>
    <w:rsid w:val="00FC4090"/>
    <w:rsid w:val="00FC55B4"/>
    <w:rsid w:val="00FC7915"/>
    <w:rsid w:val="00FD00E6"/>
    <w:rsid w:val="00FD09A1"/>
    <w:rsid w:val="00FD2A7C"/>
    <w:rsid w:val="00FD2FCA"/>
    <w:rsid w:val="00FD4B07"/>
    <w:rsid w:val="00FD59EB"/>
    <w:rsid w:val="00FD7299"/>
    <w:rsid w:val="00FD7A83"/>
    <w:rsid w:val="00FE168F"/>
    <w:rsid w:val="00FE1F75"/>
    <w:rsid w:val="00FE1FBE"/>
    <w:rsid w:val="00FE33EB"/>
    <w:rsid w:val="00FE3901"/>
    <w:rsid w:val="00FE39D3"/>
    <w:rsid w:val="00FE4BCE"/>
    <w:rsid w:val="00FE54AE"/>
    <w:rsid w:val="00FE576A"/>
    <w:rsid w:val="00FE7E79"/>
    <w:rsid w:val="00FE7EA9"/>
    <w:rsid w:val="00FF3E7D"/>
    <w:rsid w:val="00FF4364"/>
    <w:rsid w:val="00FF53F9"/>
    <w:rsid w:val="00FF5B99"/>
    <w:rsid w:val="00FF6CB1"/>
    <w:rsid w:val="00FF730C"/>
    <w:rsid w:val="00FF73F4"/>
    <w:rsid w:val="00FF7CE4"/>
    <w:rsid w:val="00FF7E39"/>
    <w:rsid w:val="01207432"/>
    <w:rsid w:val="04BC5D9C"/>
    <w:rsid w:val="05851B8A"/>
    <w:rsid w:val="05B01562"/>
    <w:rsid w:val="05E17A1F"/>
    <w:rsid w:val="089B6717"/>
    <w:rsid w:val="08F474F0"/>
    <w:rsid w:val="09B9550F"/>
    <w:rsid w:val="0AC22BB4"/>
    <w:rsid w:val="0CF9440B"/>
    <w:rsid w:val="0E75668D"/>
    <w:rsid w:val="0EDD4181"/>
    <w:rsid w:val="15121C19"/>
    <w:rsid w:val="1A646862"/>
    <w:rsid w:val="1A7365DD"/>
    <w:rsid w:val="1B522B5E"/>
    <w:rsid w:val="1BA56DFA"/>
    <w:rsid w:val="1C4E1577"/>
    <w:rsid w:val="1DB82D8F"/>
    <w:rsid w:val="1DCE76FF"/>
    <w:rsid w:val="1F9C4989"/>
    <w:rsid w:val="227D77A3"/>
    <w:rsid w:val="240B4464"/>
    <w:rsid w:val="270B4D81"/>
    <w:rsid w:val="2B1E3AB7"/>
    <w:rsid w:val="30C33B99"/>
    <w:rsid w:val="3231625C"/>
    <w:rsid w:val="378B3228"/>
    <w:rsid w:val="37DD6C81"/>
    <w:rsid w:val="3A1D5BB7"/>
    <w:rsid w:val="3FDA3177"/>
    <w:rsid w:val="41CE08E1"/>
    <w:rsid w:val="41DB4DAC"/>
    <w:rsid w:val="475E6263"/>
    <w:rsid w:val="487E4AE0"/>
    <w:rsid w:val="4EA25710"/>
    <w:rsid w:val="4EFC70A4"/>
    <w:rsid w:val="4F12385E"/>
    <w:rsid w:val="4F323101"/>
    <w:rsid w:val="55B33C1E"/>
    <w:rsid w:val="59DD74BB"/>
    <w:rsid w:val="5A62748B"/>
    <w:rsid w:val="60297C34"/>
    <w:rsid w:val="63904278"/>
    <w:rsid w:val="66147A0A"/>
    <w:rsid w:val="69001FC7"/>
    <w:rsid w:val="6AB81F5F"/>
    <w:rsid w:val="71B17A61"/>
    <w:rsid w:val="75110ADF"/>
    <w:rsid w:val="759A1397"/>
    <w:rsid w:val="766B36D5"/>
    <w:rsid w:val="7842456A"/>
    <w:rsid w:val="789F0B9E"/>
    <w:rsid w:val="78F22A3A"/>
    <w:rsid w:val="795E0CF2"/>
    <w:rsid w:val="79F65F1E"/>
    <w:rsid w:val="7A43756C"/>
    <w:rsid w:val="7A810926"/>
    <w:rsid w:val="7E121EB2"/>
    <w:rsid w:val="7E57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9"/>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50"/>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ind w:left="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tabs>
        <w:tab w:val="left" w:pos="1561"/>
      </w:tabs>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qFormat/>
    <w:uiPriority w:val="99"/>
    <w:pPr>
      <w:numPr>
        <w:ilvl w:val="1"/>
        <w:numId w:val="32"/>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36">
    <w:name w:val="章标题"/>
    <w:next w:val="233"/>
    <w:qFormat/>
    <w:uiPriority w:val="99"/>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99"/>
    <w:pPr>
      <w:numPr>
        <w:ilvl w:val="2"/>
      </w:numPr>
      <w:spacing w:before="50" w:after="50"/>
      <w:outlineLvl w:val="3"/>
    </w:pPr>
  </w:style>
  <w:style w:type="paragraph" w:customStyle="1" w:styleId="238">
    <w:name w:val="三级条标题"/>
    <w:basedOn w:val="237"/>
    <w:next w:val="233"/>
    <w:qFormat/>
    <w:uiPriority w:val="99"/>
    <w:pPr>
      <w:numPr>
        <w:ilvl w:val="3"/>
      </w:numPr>
      <w:outlineLvl w:val="4"/>
    </w:pPr>
  </w:style>
  <w:style w:type="paragraph" w:customStyle="1" w:styleId="239">
    <w:name w:val="四级条标题"/>
    <w:basedOn w:val="238"/>
    <w:next w:val="233"/>
    <w:qFormat/>
    <w:uiPriority w:val="99"/>
    <w:pPr>
      <w:numPr>
        <w:ilvl w:val="4"/>
      </w:numPr>
      <w:outlineLvl w:val="5"/>
    </w:pPr>
  </w:style>
  <w:style w:type="paragraph" w:customStyle="1" w:styleId="240">
    <w:name w:val="五级条标题"/>
    <w:basedOn w:val="239"/>
    <w:next w:val="233"/>
    <w:qFormat/>
    <w:uiPriority w:val="99"/>
    <w:pPr>
      <w:numPr>
        <w:ilvl w:val="5"/>
      </w:numPr>
      <w:outlineLvl w:val="6"/>
    </w:pPr>
  </w:style>
  <w:style w:type="paragraph" w:customStyle="1" w:styleId="241">
    <w:name w:val="正文表标题"/>
    <w:next w:val="233"/>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242">
    <w:name w:val="1"/>
    <w:basedOn w:val="1"/>
    <w:qFormat/>
    <w:uiPriority w:val="0"/>
    <w:pPr>
      <w:adjustRightInd/>
      <w:spacing w:line="240" w:lineRule="auto"/>
    </w:pPr>
    <w:rPr>
      <w:rFonts w:ascii="Tahoma" w:hAnsi="Tahoma" w:cs="Tahoma"/>
      <w:sz w:val="24"/>
      <w:szCs w:val="24"/>
    </w:rPr>
  </w:style>
  <w:style w:type="paragraph" w:customStyle="1" w:styleId="243">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4">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5">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6">
    <w:name w:val="数字编号列项（二级）"/>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47">
    <w:name w:val="字母编号列项（一级）"/>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48">
    <w:name w:val="编号列项（三级）"/>
    <w:qFormat/>
    <w:uiPriority w:val="0"/>
    <w:pPr>
      <w:numPr>
        <w:ilvl w:val="2"/>
        <w:numId w:val="33"/>
      </w:numPr>
    </w:pPr>
    <w:rPr>
      <w:rFonts w:ascii="宋体" w:hAnsi="Times New Roman" w:eastAsia="宋体" w:cs="Times New Roman"/>
      <w:sz w:val="21"/>
      <w:lang w:val="en-US" w:eastAsia="zh-CN" w:bidi="ar-SA"/>
    </w:rPr>
  </w:style>
  <w:style w:type="character" w:customStyle="1" w:styleId="249">
    <w:name w:val="批注文字 字符"/>
    <w:basedOn w:val="30"/>
    <w:link w:val="13"/>
    <w:qFormat/>
    <w:uiPriority w:val="99"/>
    <w:rPr>
      <w:kern w:val="2"/>
      <w:sz w:val="21"/>
      <w:szCs w:val="21"/>
    </w:rPr>
  </w:style>
  <w:style w:type="character" w:customStyle="1" w:styleId="250">
    <w:name w:val="批注主题 字符"/>
    <w:basedOn w:val="249"/>
    <w:link w:val="27"/>
    <w:semiHidden/>
    <w:qFormat/>
    <w:uiPriority w:val="99"/>
    <w:rPr>
      <w:b/>
      <w:bCs/>
      <w:kern w:val="2"/>
      <w:sz w:val="21"/>
      <w:szCs w:val="21"/>
    </w:rPr>
  </w:style>
  <w:style w:type="paragraph" w:customStyle="1" w:styleId="251">
    <w:name w:val="修订1"/>
    <w:hidden/>
    <w:unhideWhenUsed/>
    <w:qFormat/>
    <w:uiPriority w:val="99"/>
    <w:rPr>
      <w:rFonts w:ascii="Calibri" w:hAnsi="Calibri" w:eastAsia="宋体" w:cs="Times New Roman"/>
      <w:kern w:val="2"/>
      <w:sz w:val="21"/>
      <w:szCs w:val="21"/>
      <w:lang w:val="en-US" w:eastAsia="zh-CN" w:bidi="ar-SA"/>
    </w:rPr>
  </w:style>
  <w:style w:type="paragraph" w:customStyle="1" w:styleId="252">
    <w:name w:val="修订2"/>
    <w:hidden/>
    <w:unhideWhenUsed/>
    <w:qFormat/>
    <w:uiPriority w:val="99"/>
    <w:rPr>
      <w:rFonts w:ascii="Calibri" w:hAnsi="Calibri" w:eastAsia="宋体" w:cs="Times New Roman"/>
      <w:kern w:val="2"/>
      <w:sz w:val="21"/>
      <w:szCs w:val="21"/>
      <w:lang w:val="en-US" w:eastAsia="zh-CN" w:bidi="ar-SA"/>
    </w:rPr>
  </w:style>
  <w:style w:type="paragraph" w:customStyle="1" w:styleId="253">
    <w:name w:val="修订3"/>
    <w:hidden/>
    <w:unhideWhenUsed/>
    <w:qFormat/>
    <w:uiPriority w:val="99"/>
    <w:rPr>
      <w:rFonts w:ascii="Calibri" w:hAnsi="Calibri" w:eastAsia="宋体" w:cs="Times New Roman"/>
      <w:kern w:val="2"/>
      <w:sz w:val="21"/>
      <w:szCs w:val="21"/>
      <w:lang w:val="en-US" w:eastAsia="zh-CN" w:bidi="ar-SA"/>
    </w:rPr>
  </w:style>
  <w:style w:type="paragraph" w:customStyle="1" w:styleId="254">
    <w:name w:val="修订4"/>
    <w:hidden/>
    <w:unhideWhenUsed/>
    <w:qFormat/>
    <w:uiPriority w:val="99"/>
    <w:rPr>
      <w:rFonts w:ascii="Calibri" w:hAnsi="Calibri" w:eastAsia="宋体" w:cs="Times New Roman"/>
      <w:kern w:val="2"/>
      <w:sz w:val="21"/>
      <w:szCs w:val="21"/>
      <w:lang w:val="en-US" w:eastAsia="zh-CN" w:bidi="ar-SA"/>
    </w:rPr>
  </w:style>
  <w:style w:type="paragraph" w:customStyle="1" w:styleId="255">
    <w:name w:val="修订5"/>
    <w:hidden/>
    <w:unhideWhenUsed/>
    <w:qFormat/>
    <w:uiPriority w:val="99"/>
    <w:rPr>
      <w:rFonts w:ascii="Calibri" w:hAnsi="Calibri" w:eastAsia="宋体" w:cs="Times New Roman"/>
      <w:kern w:val="2"/>
      <w:sz w:val="21"/>
      <w:szCs w:val="21"/>
      <w:lang w:val="en-US" w:eastAsia="zh-CN" w:bidi="ar-SA"/>
    </w:rPr>
  </w:style>
  <w:style w:type="paragraph" w:customStyle="1" w:styleId="25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26E6AD67CB4C2995D310B627940C08"/>
        <w:style w:val=""/>
        <w:category>
          <w:name w:val="常规"/>
          <w:gallery w:val="placeholder"/>
        </w:category>
        <w:types>
          <w:type w:val="bbPlcHdr"/>
        </w:types>
        <w:behaviors>
          <w:behavior w:val="content"/>
        </w:behaviors>
        <w:description w:val=""/>
        <w:guid w:val="{1669C639-3AC8-4357-95F6-07973DBA5BAC}"/>
      </w:docPartPr>
      <w:docPartBody>
        <w:p w14:paraId="2E6291A6">
          <w:pPr>
            <w:pStyle w:val="5"/>
          </w:pPr>
          <w:r>
            <w:rPr>
              <w:rStyle w:val="4"/>
              <w:rFonts w:hint="eastAsia"/>
            </w:rPr>
            <w:t>单击或点击此处输入文字。</w:t>
          </w:r>
        </w:p>
      </w:docPartBody>
    </w:docPart>
    <w:docPart>
      <w:docPartPr>
        <w:name w:val="1A34295BE509404A928913BDFCF38EA7"/>
        <w:style w:val=""/>
        <w:category>
          <w:name w:val="常规"/>
          <w:gallery w:val="placeholder"/>
        </w:category>
        <w:types>
          <w:type w:val="bbPlcHdr"/>
        </w:types>
        <w:behaviors>
          <w:behavior w:val="content"/>
        </w:behaviors>
        <w:description w:val=""/>
        <w:guid w:val="{37CB10AD-C935-4C30-9C05-D1BB5669D295}"/>
      </w:docPartPr>
      <w:docPartBody>
        <w:p w14:paraId="651E8BAB">
          <w:pPr>
            <w:pStyle w:val="6"/>
          </w:pPr>
          <w:r>
            <w:rPr>
              <w:rStyle w:val="4"/>
              <w:rFonts w:hint="eastAsia"/>
            </w:rPr>
            <w:t>选择一项。</w:t>
          </w:r>
        </w:p>
      </w:docPartBody>
    </w:docPart>
    <w:docPart>
      <w:docPartPr>
        <w:name w:val="4B79669EA2CA43179F6E6C9296690BCC"/>
        <w:style w:val=""/>
        <w:category>
          <w:name w:val="常规"/>
          <w:gallery w:val="placeholder"/>
        </w:category>
        <w:types>
          <w:type w:val="bbPlcHdr"/>
        </w:types>
        <w:behaviors>
          <w:behavior w:val="content"/>
        </w:behaviors>
        <w:description w:val=""/>
        <w:guid w:val="{4F67B5F4-136B-4A42-918A-7EF89F0C5232}"/>
      </w:docPartPr>
      <w:docPartBody>
        <w:p w14:paraId="0693E12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6B"/>
    <w:rsid w:val="00006507"/>
    <w:rsid w:val="00014336"/>
    <w:rsid w:val="000149C2"/>
    <w:rsid w:val="00023528"/>
    <w:rsid w:val="00031BF0"/>
    <w:rsid w:val="00066F29"/>
    <w:rsid w:val="000C525C"/>
    <w:rsid w:val="001316A7"/>
    <w:rsid w:val="001328BD"/>
    <w:rsid w:val="00136563"/>
    <w:rsid w:val="00161DD1"/>
    <w:rsid w:val="0016695B"/>
    <w:rsid w:val="001A1D98"/>
    <w:rsid w:val="001E4F62"/>
    <w:rsid w:val="001F3CED"/>
    <w:rsid w:val="00221A62"/>
    <w:rsid w:val="00232B4E"/>
    <w:rsid w:val="00246A2F"/>
    <w:rsid w:val="0026488D"/>
    <w:rsid w:val="00265D65"/>
    <w:rsid w:val="00283EC3"/>
    <w:rsid w:val="0029334F"/>
    <w:rsid w:val="00294C1C"/>
    <w:rsid w:val="002E2409"/>
    <w:rsid w:val="002F65B0"/>
    <w:rsid w:val="003216F1"/>
    <w:rsid w:val="003336E9"/>
    <w:rsid w:val="003A13AC"/>
    <w:rsid w:val="003C2F09"/>
    <w:rsid w:val="003D7FFC"/>
    <w:rsid w:val="00407E5F"/>
    <w:rsid w:val="00427DA5"/>
    <w:rsid w:val="004838CA"/>
    <w:rsid w:val="004B3EFA"/>
    <w:rsid w:val="004E02E7"/>
    <w:rsid w:val="004F11B8"/>
    <w:rsid w:val="0051169A"/>
    <w:rsid w:val="0052424C"/>
    <w:rsid w:val="005C22F9"/>
    <w:rsid w:val="005D0E91"/>
    <w:rsid w:val="006057EE"/>
    <w:rsid w:val="00617251"/>
    <w:rsid w:val="00672CF9"/>
    <w:rsid w:val="006737E8"/>
    <w:rsid w:val="006B3B1F"/>
    <w:rsid w:val="006B4419"/>
    <w:rsid w:val="006C1633"/>
    <w:rsid w:val="006E4442"/>
    <w:rsid w:val="006E7B41"/>
    <w:rsid w:val="006F7F28"/>
    <w:rsid w:val="007B2CE9"/>
    <w:rsid w:val="007C3122"/>
    <w:rsid w:val="007D2A81"/>
    <w:rsid w:val="0081346B"/>
    <w:rsid w:val="00824A94"/>
    <w:rsid w:val="00854B7B"/>
    <w:rsid w:val="00872694"/>
    <w:rsid w:val="00887C7B"/>
    <w:rsid w:val="008A5F3A"/>
    <w:rsid w:val="00903279"/>
    <w:rsid w:val="009206FC"/>
    <w:rsid w:val="00926C86"/>
    <w:rsid w:val="00961E2B"/>
    <w:rsid w:val="00971E29"/>
    <w:rsid w:val="0098073E"/>
    <w:rsid w:val="009870F2"/>
    <w:rsid w:val="009D774B"/>
    <w:rsid w:val="00A62FC3"/>
    <w:rsid w:val="00AE5010"/>
    <w:rsid w:val="00B22017"/>
    <w:rsid w:val="00B32BF2"/>
    <w:rsid w:val="00B51B89"/>
    <w:rsid w:val="00BB07E4"/>
    <w:rsid w:val="00BF2EB9"/>
    <w:rsid w:val="00C2173A"/>
    <w:rsid w:val="00C22B45"/>
    <w:rsid w:val="00C321EF"/>
    <w:rsid w:val="00C3544C"/>
    <w:rsid w:val="00C534EC"/>
    <w:rsid w:val="00C55206"/>
    <w:rsid w:val="00CC02F7"/>
    <w:rsid w:val="00CD0A65"/>
    <w:rsid w:val="00CF5839"/>
    <w:rsid w:val="00D26D2F"/>
    <w:rsid w:val="00D62A55"/>
    <w:rsid w:val="00D67166"/>
    <w:rsid w:val="00D777FC"/>
    <w:rsid w:val="00D8434C"/>
    <w:rsid w:val="00D96003"/>
    <w:rsid w:val="00DE03EE"/>
    <w:rsid w:val="00E02D9D"/>
    <w:rsid w:val="00E16E5C"/>
    <w:rsid w:val="00E22354"/>
    <w:rsid w:val="00E25AC9"/>
    <w:rsid w:val="00E44E3C"/>
    <w:rsid w:val="00E572B7"/>
    <w:rsid w:val="00E75C1E"/>
    <w:rsid w:val="00EA20CB"/>
    <w:rsid w:val="00F122BA"/>
    <w:rsid w:val="00F17064"/>
    <w:rsid w:val="00F20483"/>
    <w:rsid w:val="00F31B72"/>
    <w:rsid w:val="00F52D71"/>
    <w:rsid w:val="00F66809"/>
    <w:rsid w:val="00F87147"/>
    <w:rsid w:val="00F907B5"/>
    <w:rsid w:val="00FA2008"/>
    <w:rsid w:val="00FD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26E6AD67CB4C2995D310B627940C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A34295BE509404A928913BDFCF38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B79669EA2CA43179F6E6C9296690BC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9E78C3-920E-40D5-BECC-9E3733CBFDCF}">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17</Pages>
  <Words>2354</Words>
  <Characters>3109</Characters>
  <Lines>361</Lines>
  <Paragraphs>482</Paragraphs>
  <TotalTime>141</TotalTime>
  <ScaleCrop>false</ScaleCrop>
  <LinksUpToDate>false</LinksUpToDate>
  <CharactersWithSpaces>3258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2025-11-03T12:09:00Z</dcterms:created>
  <dc:creator>董强国</dc:creator>
  <cp:lastModifiedBy>常婉晴。</cp:lastModifiedBy>
  <cp:lastPrinted>2021-05-24T01:23:00Z</cp:lastPrinted>
  <dcterms:modified xsi:type="dcterms:W3CDTF">2026-03-20T06:52:43Z</dcterms:modified>
  <dc:title>行业标准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eyJoZGlkIjoiNDI1NGQ4MDY4NjMxYWVlMzc3ODM2NDE0MmU1ODUxYzYiLCJ1c2VySWQiOiIzNDYwODY2MTUifQ==</vt:lpwstr>
  </property>
  <property fmtid="{D5CDD505-2E9C-101B-9397-08002B2CF9AE}" pid="16" name="KSOProductBuildVer">
    <vt:lpwstr>2052-12.1.0.25225</vt:lpwstr>
  </property>
  <property fmtid="{D5CDD505-2E9C-101B-9397-08002B2CF9AE}" pid="17" name="ICV">
    <vt:lpwstr>7DEBEBDE53D84890B950F0663F724E1D_13</vt:lpwstr>
  </property>
</Properties>
</file>